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88B" w:rsidRDefault="007E088B" w:rsidP="00CA4D21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</w:p>
    <w:p w:rsidR="00CA4D21" w:rsidRPr="00B304E9" w:rsidRDefault="00CA4D21" w:rsidP="00CA4D21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A4D21" w:rsidRDefault="00CA4D21" w:rsidP="00CA4D21">
      <w:pPr>
        <w:rPr>
          <w:rFonts w:ascii="Cambria" w:hAnsi="Cambria" w:cs="Arial"/>
          <w:b/>
          <w:sz w:val="40"/>
          <w:szCs w:val="40"/>
        </w:rPr>
      </w:pPr>
    </w:p>
    <w:p w:rsidR="00CA4D21" w:rsidRPr="004C3570" w:rsidRDefault="00CA4D21" w:rsidP="00CA4D21">
      <w:pPr>
        <w:rPr>
          <w:rFonts w:ascii="Cambria" w:hAnsi="Cambria" w:cs="Arial"/>
          <w:b/>
          <w:sz w:val="40"/>
          <w:szCs w:val="40"/>
        </w:rPr>
      </w:pPr>
    </w:p>
    <w:p w:rsidR="00CA4D21" w:rsidRPr="004C3570" w:rsidRDefault="00CA4D21" w:rsidP="00CA4D21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:rsidR="00CA4D21" w:rsidRPr="004C3570" w:rsidRDefault="00CA4D21" w:rsidP="00CA4D21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</w:p>
    <w:p w:rsidR="00CA4D21" w:rsidRDefault="00CA4D21" w:rsidP="00CA4D21">
      <w:pPr>
        <w:spacing w:after="0"/>
        <w:rPr>
          <w:rFonts w:ascii="Cambria" w:hAnsi="Cambria" w:cs="Arial"/>
          <w:b/>
          <w:sz w:val="40"/>
          <w:szCs w:val="40"/>
        </w:rPr>
      </w:pPr>
    </w:p>
    <w:p w:rsidR="00CA4D21" w:rsidRDefault="00CA4D21" w:rsidP="00CA4D21">
      <w:pPr>
        <w:spacing w:after="0"/>
        <w:rPr>
          <w:rFonts w:ascii="Cambria" w:hAnsi="Cambria" w:cs="Arial"/>
          <w:b/>
          <w:sz w:val="40"/>
          <w:szCs w:val="40"/>
        </w:rPr>
      </w:pPr>
    </w:p>
    <w:p w:rsidR="00CA4D21" w:rsidRPr="004A011E" w:rsidRDefault="00CA4D21" w:rsidP="00CA4D21">
      <w:pPr>
        <w:rPr>
          <w:rFonts w:ascii="Cambria" w:hAnsi="Cambria" w:cs="MyriadPro-Black"/>
          <w:caps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Specifický cíl 2.5</w:t>
      </w:r>
    </w:p>
    <w:p w:rsidR="00CA4D21" w:rsidRPr="004A011E" w:rsidRDefault="007E088B" w:rsidP="00CA4D21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CA4D21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1</w:t>
      </w:r>
      <w:r w:rsidR="00CA4D21">
        <w:rPr>
          <w:rFonts w:ascii="Cambria" w:hAnsi="Cambria" w:cs="MyriadPro-Black"/>
          <w:caps/>
          <w:color w:val="A6A6A6"/>
          <w:sz w:val="40"/>
          <w:szCs w:val="40"/>
        </w:rPr>
        <w:t>6</w:t>
      </w:r>
    </w:p>
    <w:p w:rsidR="00CA4D21" w:rsidRPr="004C3570" w:rsidRDefault="00CA4D21" w:rsidP="00CA4D21">
      <w:pPr>
        <w:spacing w:after="0"/>
        <w:rPr>
          <w:rFonts w:ascii="Cambria" w:hAnsi="Cambria" w:cs="Arial"/>
          <w:b/>
          <w:sz w:val="40"/>
          <w:szCs w:val="40"/>
        </w:rPr>
      </w:pPr>
    </w:p>
    <w:p w:rsidR="00CA4D21" w:rsidRPr="004C3570" w:rsidRDefault="00CA4D21" w:rsidP="00CA4D21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>PŘÍLOHA Č.</w:t>
      </w:r>
      <w:r>
        <w:rPr>
          <w:rFonts w:ascii="Cambria" w:hAnsi="Cambria" w:cs="MyriadPro-Black"/>
          <w:caps/>
          <w:color w:val="FF0000"/>
          <w:sz w:val="40"/>
          <w:szCs w:val="40"/>
        </w:rPr>
        <w:t xml:space="preserve"> </w:t>
      </w:r>
      <w:r>
        <w:rPr>
          <w:rFonts w:ascii="Cambria" w:hAnsi="Cambria" w:cs="MyriadPro-Black"/>
          <w:caps/>
          <w:color w:val="auto"/>
          <w:sz w:val="40"/>
          <w:szCs w:val="40"/>
        </w:rPr>
        <w:t>2</w:t>
      </w:r>
    </w:p>
    <w:p w:rsidR="00CA4D21" w:rsidRPr="004C3570" w:rsidRDefault="00CA4D21" w:rsidP="00CA4D2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:rsidR="00CA4D21" w:rsidRPr="004C3570" w:rsidRDefault="00CA4D21" w:rsidP="00CA4D21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Metodické listy indikátorů</w:t>
      </w:r>
    </w:p>
    <w:p w:rsidR="00CA4D21" w:rsidRDefault="00CA4D21" w:rsidP="00CA4D21">
      <w:pPr>
        <w:pStyle w:val="Default"/>
        <w:spacing w:line="276" w:lineRule="auto"/>
        <w:jc w:val="center"/>
      </w:pPr>
    </w:p>
    <w:p w:rsidR="00CA4D21" w:rsidRDefault="00CA4D21" w:rsidP="00CA4D21">
      <w:pPr>
        <w:pStyle w:val="Default"/>
        <w:spacing w:line="276" w:lineRule="auto"/>
        <w:jc w:val="center"/>
      </w:pPr>
    </w:p>
    <w:p w:rsidR="00CA4D21" w:rsidRDefault="00CA4D21" w:rsidP="00CA4D21">
      <w:pPr>
        <w:pStyle w:val="Default"/>
        <w:spacing w:line="276" w:lineRule="auto"/>
        <w:jc w:val="center"/>
      </w:pPr>
    </w:p>
    <w:p w:rsidR="00CA4D21" w:rsidRDefault="00CA4D21" w:rsidP="00CA4D21">
      <w:pPr>
        <w:pStyle w:val="Default"/>
        <w:spacing w:line="276" w:lineRule="auto"/>
        <w:jc w:val="center"/>
        <w:rPr>
          <w:rFonts w:ascii="Cambria" w:hAnsi="Cambria"/>
        </w:rPr>
      </w:pPr>
    </w:p>
    <w:p w:rsidR="00CA4D21" w:rsidRDefault="00CA4D21" w:rsidP="00CA4D21">
      <w:pPr>
        <w:pStyle w:val="Default"/>
        <w:spacing w:line="276" w:lineRule="auto"/>
        <w:jc w:val="center"/>
        <w:rPr>
          <w:rFonts w:ascii="Cambria" w:hAnsi="Cambria"/>
        </w:rPr>
      </w:pPr>
    </w:p>
    <w:p w:rsidR="00CA4D21" w:rsidRDefault="00CA4D21" w:rsidP="00CA4D21">
      <w:pPr>
        <w:pStyle w:val="Default"/>
        <w:spacing w:line="276" w:lineRule="auto"/>
        <w:jc w:val="center"/>
        <w:rPr>
          <w:rFonts w:ascii="Cambria" w:hAnsi="Cambria"/>
        </w:rPr>
      </w:pPr>
    </w:p>
    <w:p w:rsidR="00CA4D21" w:rsidRDefault="00CA4D21" w:rsidP="00CA4D21">
      <w:pPr>
        <w:pStyle w:val="Default"/>
        <w:spacing w:line="276" w:lineRule="auto"/>
        <w:jc w:val="center"/>
        <w:rPr>
          <w:rFonts w:ascii="Cambria" w:hAnsi="Cambria"/>
        </w:rPr>
      </w:pPr>
    </w:p>
    <w:p w:rsidR="00CA4D21" w:rsidRPr="000842A7" w:rsidRDefault="00CA4D21" w:rsidP="00CA4D21">
      <w:pPr>
        <w:spacing w:after="0"/>
        <w:rPr>
          <w:rFonts w:ascii="Cambria" w:hAnsi="Cambria" w:cs="MyriadPro-Black"/>
          <w:caps/>
          <w:color w:val="A6A6A6"/>
          <w:sz w:val="32"/>
          <w:szCs w:val="40"/>
        </w:rPr>
      </w:pPr>
    </w:p>
    <w:p w:rsidR="00CA4D21" w:rsidRDefault="00CA4D21" w:rsidP="00CA4D21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0842A7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>
        <w:rPr>
          <w:rFonts w:ascii="Cambria" w:hAnsi="Cambria" w:cs="MyriadPro-Black"/>
          <w:caps/>
          <w:color w:val="A6A6A6"/>
          <w:sz w:val="32"/>
          <w:szCs w:val="40"/>
        </w:rPr>
        <w:t>9</w:t>
      </w:r>
      <w:r w:rsidRPr="000842A7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>
        <w:rPr>
          <w:rFonts w:ascii="Cambria" w:hAnsi="Cambria" w:cs="MyriadPro-Black"/>
          <w:caps/>
          <w:color w:val="A6A6A6"/>
          <w:sz w:val="32"/>
          <w:szCs w:val="40"/>
        </w:rPr>
        <w:t>12</w:t>
      </w:r>
      <w:r w:rsidRPr="000842A7">
        <w:rPr>
          <w:rFonts w:ascii="Cambria" w:hAnsi="Cambria" w:cs="MyriadPro-Black"/>
          <w:caps/>
          <w:color w:val="A6A6A6"/>
          <w:sz w:val="32"/>
          <w:szCs w:val="40"/>
        </w:rPr>
        <w:t>. 2015</w:t>
      </w:r>
    </w:p>
    <w:p w:rsidR="00CA4D21" w:rsidRDefault="00CA4D21" w:rsidP="00CA4D21">
      <w:pPr>
        <w:rPr>
          <w:rFonts w:ascii="Cambria" w:hAnsi="Cambria" w:cs="MyriadPro-Black"/>
          <w:caps/>
          <w:color w:val="A6A6A6"/>
          <w:sz w:val="32"/>
          <w:szCs w:val="40"/>
        </w:rPr>
      </w:pPr>
    </w:p>
    <w:p w:rsidR="005F7068" w:rsidRDefault="005F7068" w:rsidP="00D2776C">
      <w:pPr>
        <w:tabs>
          <w:tab w:val="left" w:pos="4069"/>
          <w:tab w:val="center" w:pos="4536"/>
        </w:tabs>
        <w:spacing w:after="0"/>
        <w:rPr>
          <w:b/>
        </w:rPr>
      </w:pPr>
      <w:bookmarkStart w:id="0" w:name="_GoBack"/>
      <w:bookmarkEnd w:id="0"/>
    </w:p>
    <w:p w:rsidR="00A61B69" w:rsidRPr="00194C06" w:rsidRDefault="00D2776C" w:rsidP="00D2776C">
      <w:pPr>
        <w:tabs>
          <w:tab w:val="left" w:pos="4069"/>
          <w:tab w:val="center" w:pos="4536"/>
        </w:tabs>
        <w:spacing w:after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F7068" w:rsidRPr="0098535B" w:rsidTr="00E66FBA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8535B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F7068" w:rsidRPr="0098535B" w:rsidTr="00E66FBA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F7068" w:rsidRPr="0098535B" w:rsidTr="00E66FBA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068" w:rsidRPr="00194C06" w:rsidRDefault="005F7068" w:rsidP="00E66FBA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F606DE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Odhadované roční snížení emisí skleníkových plynů</w:t>
            </w:r>
          </w:p>
        </w:tc>
      </w:tr>
      <w:tr w:rsidR="005F7068" w:rsidRPr="0098535B" w:rsidTr="00E66FBA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F7068" w:rsidRPr="0098535B" w:rsidTr="00E66FBA">
        <w:trPr>
          <w:trHeight w:val="562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2E521A">
              <w:rPr>
                <w:b/>
                <w:bCs/>
                <w:color w:val="000000"/>
              </w:rPr>
              <w:t>3 60 10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F606DE">
              <w:rPr>
                <w:b/>
                <w:bCs/>
                <w:color w:val="000000"/>
              </w:rPr>
              <w:t>Tuny ekvivalentu CO2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(přidružený)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F7068" w:rsidRPr="0098535B" w:rsidTr="00E66FBA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F7068" w:rsidRPr="0098535B" w:rsidTr="00E66FBA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068" w:rsidRPr="00F606DE" w:rsidRDefault="005F7068" w:rsidP="00E66FBA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F606DE">
              <w:rPr>
                <w:sz w:val="20"/>
                <w:szCs w:val="20"/>
              </w:rPr>
              <w:t xml:space="preserve">Hrubé celkové snížení emisí skleníkových plynů (v ekvivalentu </w:t>
            </w: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2</w:t>
            </w:r>
            <w:r w:rsidRPr="00F606DE">
              <w:rPr>
                <w:sz w:val="20"/>
                <w:szCs w:val="20"/>
              </w:rPr>
              <w:t xml:space="preserve">) v důsledku intervencí financovaných </w:t>
            </w:r>
            <w:r>
              <w:rPr>
                <w:sz w:val="20"/>
                <w:szCs w:val="20"/>
              </w:rPr>
              <w:t>ESI</w:t>
            </w:r>
            <w:r w:rsidRPr="00F606DE">
              <w:rPr>
                <w:sz w:val="20"/>
                <w:szCs w:val="20"/>
              </w:rPr>
              <w:t xml:space="preserve"> Fondy. Výpočet ekvivalentu CO2 je v souladu se standardy Rámcové konvence Spojených </w:t>
            </w:r>
            <w:r>
              <w:rPr>
                <w:sz w:val="20"/>
                <w:szCs w:val="20"/>
              </w:rPr>
              <w:t>národů o změně klimatu (</w:t>
            </w:r>
            <w:proofErr w:type="gramStart"/>
            <w:r>
              <w:rPr>
                <w:sz w:val="20"/>
                <w:szCs w:val="20"/>
              </w:rPr>
              <w:t xml:space="preserve">UNFCCC) </w:t>
            </w:r>
            <w:r w:rsidRPr="00F606DE">
              <w:rPr>
                <w:sz w:val="20"/>
                <w:szCs w:val="20"/>
              </w:rPr>
              <w:t>(také</w:t>
            </w:r>
            <w:proofErr w:type="gramEnd"/>
            <w:r w:rsidRPr="00F606DE">
              <w:rPr>
                <w:sz w:val="20"/>
                <w:szCs w:val="20"/>
              </w:rPr>
              <w:t xml:space="preserve"> viz Rozhodnutí č. 280/2004/EC).</w:t>
            </w:r>
          </w:p>
          <w:p w:rsidR="005F7068" w:rsidRPr="00B276E4" w:rsidRDefault="005F7068" w:rsidP="00E66FB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F606DE">
              <w:rPr>
                <w:sz w:val="20"/>
                <w:szCs w:val="20"/>
              </w:rPr>
              <w:t>V případě energeticky úsporných opatření, je odhad založen na množství primární energie uspořené v daném roce v rámci podpořených projektů</w:t>
            </w:r>
            <w:r>
              <w:rPr>
                <w:sz w:val="20"/>
                <w:szCs w:val="20"/>
              </w:rPr>
              <w:t>.</w:t>
            </w:r>
            <w:r w:rsidRPr="00F606DE">
              <w:rPr>
                <w:sz w:val="20"/>
                <w:szCs w:val="20"/>
              </w:rPr>
              <w:t xml:space="preserve"> </w:t>
            </w:r>
          </w:p>
        </w:tc>
      </w:tr>
      <w:tr w:rsidR="005F7068" w:rsidRPr="0098535B" w:rsidTr="00E66FBA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Specifický</w:t>
            </w:r>
            <w:r w:rsidRPr="002944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>cíl (SC)</w:t>
            </w:r>
          </w:p>
        </w:tc>
      </w:tr>
      <w:tr w:rsidR="005F7068" w:rsidRPr="0098535B" w:rsidTr="00E66FBA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</w:rPr>
              <w:t xml:space="preserve">2 </w:t>
            </w:r>
            <w:r w:rsidRPr="00CD318D">
              <w:rPr>
                <w:sz w:val="20"/>
                <w:szCs w:val="20"/>
              </w:rPr>
              <w:t xml:space="preserve">- </w:t>
            </w:r>
            <w:r w:rsidRPr="006B2D24">
              <w:rPr>
                <w:sz w:val="20"/>
                <w:szCs w:val="20"/>
              </w:rPr>
              <w:t>Zkvalitnění veřejných služeb a podmínek života pro obyvatele regionů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2.5 </w:t>
            </w:r>
            <w:r>
              <w:rPr>
                <w:color w:val="000000"/>
              </w:rPr>
              <w:t>-</w:t>
            </w:r>
            <w:r w:rsidRPr="00294487">
              <w:rPr>
                <w:color w:val="000000"/>
              </w:rPr>
              <w:t xml:space="preserve"> </w:t>
            </w:r>
            <w:r w:rsidRPr="00D2776C">
              <w:rPr>
                <w:sz w:val="20"/>
                <w:szCs w:val="20"/>
              </w:rPr>
              <w:t>Snížení energetické náročnosti v sektoru bydlení</w:t>
            </w:r>
          </w:p>
        </w:tc>
      </w:tr>
      <w:tr w:rsidR="005F7068" w:rsidRPr="0098535B" w:rsidTr="00E66FBA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F7068" w:rsidRPr="0098535B" w:rsidTr="00E66FBA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5F7068" w:rsidRPr="0098535B" w:rsidTr="00E66FBA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F7068" w:rsidRPr="0098535B" w:rsidTr="00E66FBA">
        <w:trPr>
          <w:trHeight w:val="28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F7068" w:rsidRPr="0037429E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  <w:vertAlign w:val="subscript"/>
              </w:rPr>
            </w:pPr>
            <w:r w:rsidRPr="0037429E">
              <w:rPr>
                <w:sz w:val="20"/>
                <w:szCs w:val="20"/>
              </w:rPr>
              <w:t xml:space="preserve">Indikátor je povinný k výběru a k naplnění pro všechny projekty výzvy. Žadatel vykazuje všechny hodnoty na základě výpočtů z dat uvedených v </w:t>
            </w:r>
            <w:r>
              <w:rPr>
                <w:sz w:val="20"/>
                <w:szCs w:val="20"/>
              </w:rPr>
              <w:t>průkazu energetické náročnosti (jde o rozdíl hodnot v PENB, který zachycuje stav před realizací projektu a PENB, který dokumentuje stav po ukončení projektu).</w:t>
            </w:r>
          </w:p>
          <w:p w:rsidR="005F7068" w:rsidRDefault="005F7068" w:rsidP="00E66FBA">
            <w:pPr>
              <w:pStyle w:val="text"/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</w:p>
          <w:p w:rsidR="005F7068" w:rsidRDefault="005F7068" w:rsidP="00E66FBA">
            <w:pPr>
              <w:pStyle w:val="text"/>
              <w:spacing w:before="120" w:after="120"/>
              <w:ind w:left="170" w:right="170"/>
              <w:rPr>
                <w:color w:val="FF0000"/>
                <w:sz w:val="20"/>
                <w:szCs w:val="20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hodnota:</w:t>
            </w:r>
            <w:r w:rsidRPr="009D35EF">
              <w:rPr>
                <w:b/>
                <w:sz w:val="20"/>
                <w:szCs w:val="20"/>
              </w:rPr>
              <w:t xml:space="preserve"> </w:t>
            </w:r>
            <w:r w:rsidRPr="0078120F">
              <w:rPr>
                <w:sz w:val="20"/>
                <w:szCs w:val="20"/>
              </w:rPr>
              <w:t>plánovaná</w:t>
            </w:r>
            <w:r>
              <w:rPr>
                <w:sz w:val="20"/>
                <w:szCs w:val="20"/>
              </w:rPr>
              <w:t xml:space="preserve"> vypočtená</w:t>
            </w:r>
            <w:r w:rsidRPr="0078120F">
              <w:rPr>
                <w:sz w:val="20"/>
                <w:szCs w:val="20"/>
              </w:rPr>
              <w:t xml:space="preserve"> roční úspora, jedná </w:t>
            </w:r>
            <w:r>
              <w:rPr>
                <w:sz w:val="20"/>
                <w:szCs w:val="20"/>
              </w:rPr>
              <w:t xml:space="preserve">se </w:t>
            </w:r>
            <w:r w:rsidRPr="0078120F">
              <w:rPr>
                <w:sz w:val="20"/>
                <w:szCs w:val="20"/>
              </w:rPr>
              <w:t>o sumu ročních úspor emisí CO</w:t>
            </w:r>
            <w:r w:rsidRPr="0078120F">
              <w:rPr>
                <w:sz w:val="20"/>
                <w:szCs w:val="20"/>
                <w:vertAlign w:val="subscript"/>
              </w:rPr>
              <w:t xml:space="preserve">2 </w:t>
            </w:r>
            <w:r w:rsidRPr="0078120F">
              <w:rPr>
                <w:sz w:val="20"/>
                <w:szCs w:val="20"/>
              </w:rPr>
              <w:t xml:space="preserve">v tunách, kterou žadatel plánuje uspořit za </w:t>
            </w:r>
            <w:r>
              <w:rPr>
                <w:sz w:val="20"/>
                <w:szCs w:val="20"/>
              </w:rPr>
              <w:t xml:space="preserve">kalendářní rok následující po roce, ve kterém byla ukončena realizace </w:t>
            </w:r>
            <w:r w:rsidRPr="0078120F">
              <w:rPr>
                <w:sz w:val="20"/>
                <w:szCs w:val="20"/>
              </w:rPr>
              <w:t>projekt</w:t>
            </w:r>
            <w:r>
              <w:rPr>
                <w:sz w:val="20"/>
                <w:szCs w:val="20"/>
              </w:rPr>
              <w:t>u oproti stejnému období před začátkem realizace projektu.</w:t>
            </w:r>
            <w:r w:rsidRPr="007812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Tato hodnota je stanovena na základě výpočtu z údajů uvedených v průkazu energetické náročnosti budov. </w:t>
            </w:r>
            <w:r w:rsidRPr="0078120F">
              <w:rPr>
                <w:sz w:val="20"/>
                <w:szCs w:val="20"/>
              </w:rPr>
              <w:t xml:space="preserve">Za každý projekt je </w:t>
            </w:r>
            <w:r>
              <w:rPr>
                <w:sz w:val="20"/>
                <w:szCs w:val="20"/>
              </w:rPr>
              <w:t xml:space="preserve">vykázána tato </w:t>
            </w:r>
            <w:r w:rsidRPr="0078120F">
              <w:rPr>
                <w:sz w:val="20"/>
                <w:szCs w:val="20"/>
              </w:rPr>
              <w:t>hodnota</w:t>
            </w:r>
            <w:r>
              <w:rPr>
                <w:sz w:val="20"/>
                <w:szCs w:val="20"/>
              </w:rPr>
              <w:t xml:space="preserve"> pouze jednou</w:t>
            </w:r>
            <w:r w:rsidRPr="0078120F">
              <w:rPr>
                <w:sz w:val="20"/>
                <w:szCs w:val="20"/>
              </w:rPr>
              <w:t xml:space="preserve">, následně </w:t>
            </w:r>
            <w:r>
              <w:rPr>
                <w:sz w:val="20"/>
                <w:szCs w:val="20"/>
              </w:rPr>
              <w:t xml:space="preserve">je </w:t>
            </w:r>
            <w:r w:rsidRPr="0078120F">
              <w:rPr>
                <w:sz w:val="20"/>
                <w:szCs w:val="20"/>
              </w:rPr>
              <w:t>pou</w:t>
            </w:r>
            <w:r>
              <w:rPr>
                <w:sz w:val="20"/>
                <w:szCs w:val="20"/>
              </w:rPr>
              <w:t>ze dále vykazována ve zprávách o udržitelnosti.</w:t>
            </w:r>
          </w:p>
          <w:p w:rsidR="005F7068" w:rsidRPr="000F325D" w:rsidRDefault="005F7068" w:rsidP="00E66FBA">
            <w:pPr>
              <w:pStyle w:val="text"/>
              <w:spacing w:after="120"/>
              <w:ind w:left="170" w:right="170"/>
              <w:rPr>
                <w:sz w:val="20"/>
                <w:szCs w:val="20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Dosažená hodnota:</w:t>
            </w:r>
            <w:r w:rsidRPr="009D35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vypočtená </w:t>
            </w:r>
            <w:r w:rsidRPr="0078120F">
              <w:rPr>
                <w:sz w:val="20"/>
                <w:szCs w:val="20"/>
              </w:rPr>
              <w:t>hmotnost emisí CO</w:t>
            </w:r>
            <w:r w:rsidRPr="0078120F">
              <w:rPr>
                <w:sz w:val="20"/>
                <w:szCs w:val="20"/>
                <w:vertAlign w:val="subscript"/>
              </w:rPr>
              <w:t>2,</w:t>
            </w:r>
            <w:r w:rsidRPr="0078120F">
              <w:rPr>
                <w:sz w:val="20"/>
                <w:szCs w:val="20"/>
              </w:rPr>
              <w:t xml:space="preserve"> kterou žad</w:t>
            </w:r>
            <w:r>
              <w:rPr>
                <w:sz w:val="20"/>
                <w:szCs w:val="20"/>
              </w:rPr>
              <w:t>atel uspoří</w:t>
            </w:r>
            <w:r w:rsidRPr="0078120F">
              <w:rPr>
                <w:sz w:val="20"/>
                <w:szCs w:val="20"/>
              </w:rPr>
              <w:t xml:space="preserve"> za </w:t>
            </w:r>
            <w:r>
              <w:rPr>
                <w:sz w:val="20"/>
                <w:szCs w:val="20"/>
              </w:rPr>
              <w:t>kalendářní rok následující</w:t>
            </w:r>
            <w:r w:rsidRPr="0078120F">
              <w:rPr>
                <w:sz w:val="20"/>
                <w:szCs w:val="20"/>
              </w:rPr>
              <w:t xml:space="preserve"> po dokončení projektu</w:t>
            </w:r>
            <w:r>
              <w:rPr>
                <w:sz w:val="20"/>
                <w:szCs w:val="20"/>
              </w:rPr>
              <w:t xml:space="preserve"> oproti stejnému období před začátkem realizace projektu. Žadatel vykazuje hodnotu vypočtenou na základě průkazu energetické náročnosti budov. (Dosažená hodnota se tedy musí vždy rovnat hodnotě cílové). </w:t>
            </w:r>
          </w:p>
          <w:p w:rsidR="005F7068" w:rsidRDefault="005F7068" w:rsidP="00E66FBA">
            <w:pPr>
              <w:pStyle w:val="text"/>
              <w:spacing w:before="120" w:after="0" w:line="276" w:lineRule="auto"/>
              <w:ind w:left="170" w:right="170"/>
              <w:rPr>
                <w:b/>
                <w:sz w:val="20"/>
                <w:szCs w:val="20"/>
              </w:rPr>
            </w:pPr>
            <w:r w:rsidRPr="00D82F42">
              <w:rPr>
                <w:b/>
                <w:sz w:val="20"/>
                <w:szCs w:val="20"/>
              </w:rPr>
              <w:t>Tolerance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8733D9">
              <w:rPr>
                <w:sz w:val="20"/>
                <w:szCs w:val="20"/>
              </w:rPr>
              <w:t xml:space="preserve">žádná, </w:t>
            </w:r>
            <w:r>
              <w:rPr>
                <w:sz w:val="20"/>
                <w:szCs w:val="20"/>
              </w:rPr>
              <w:t>výpočty vychází z</w:t>
            </w:r>
            <w:r w:rsidRPr="008733D9">
              <w:rPr>
                <w:sz w:val="20"/>
                <w:szCs w:val="20"/>
              </w:rPr>
              <w:t xml:space="preserve"> údajů obsažen</w:t>
            </w:r>
            <w:r>
              <w:rPr>
                <w:sz w:val="20"/>
                <w:szCs w:val="20"/>
              </w:rPr>
              <w:t>ých</w:t>
            </w:r>
            <w:r w:rsidRPr="008733D9">
              <w:rPr>
                <w:sz w:val="20"/>
                <w:szCs w:val="20"/>
              </w:rPr>
              <w:t xml:space="preserve"> v PENB, </w:t>
            </w:r>
            <w:r>
              <w:rPr>
                <w:sz w:val="20"/>
                <w:szCs w:val="20"/>
              </w:rPr>
              <w:t>proto se cílová a dosažená hodnota musí vždy rovnat.</w:t>
            </w:r>
          </w:p>
          <w:p w:rsidR="005F7068" w:rsidRDefault="005F7068" w:rsidP="00E66FBA">
            <w:pPr>
              <w:pStyle w:val="text"/>
              <w:spacing w:before="120" w:after="0" w:line="276" w:lineRule="auto"/>
              <w:ind w:left="170" w:right="170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lastRenderedPageBreak/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nenaplnění cílové hodnoty indikátoru (mimo rozmezí stanovené tolerance), je stanovena v Podmínkách rozhodnutí o poskytnutí dotace.</w:t>
            </w:r>
          </w:p>
          <w:p w:rsidR="005F7068" w:rsidRPr="00AC2249" w:rsidRDefault="005F7068" w:rsidP="005F7068">
            <w:pPr>
              <w:pStyle w:val="text"/>
              <w:spacing w:before="120" w:after="0" w:line="276" w:lineRule="auto"/>
              <w:ind w:right="170"/>
              <w:rPr>
                <w:b/>
                <w:sz w:val="20"/>
                <w:szCs w:val="20"/>
              </w:rPr>
            </w:pPr>
          </w:p>
        </w:tc>
      </w:tr>
      <w:tr w:rsidR="005F7068" w:rsidRPr="0098535B" w:rsidTr="00E66FBA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70197F" w:rsidRDefault="005F7068" w:rsidP="00E66FBA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F7068" w:rsidRPr="0098535B" w:rsidTr="00E66FBA">
        <w:trPr>
          <w:trHeight w:val="70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7068" w:rsidRPr="000E2AF2" w:rsidRDefault="005F7068" w:rsidP="00E66FB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</w:t>
            </w:r>
            <w:r>
              <w:rPr>
                <w:color w:val="000000"/>
                <w:sz w:val="20"/>
                <w:szCs w:val="20"/>
              </w:rPr>
              <w:t>u</w:t>
            </w:r>
            <w:r w:rsidRPr="000E2AF2">
              <w:rPr>
                <w:color w:val="000000"/>
                <w:sz w:val="20"/>
                <w:szCs w:val="20"/>
              </w:rPr>
              <w:t>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hodnoty vykazuje v systému MS2014+ prostřednictvím: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5F7068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:rsidR="005F7068" w:rsidRPr="003F2F6E" w:rsidRDefault="005F7068" w:rsidP="00E66FBA">
            <w:pPr>
              <w:spacing w:before="120" w:after="120"/>
              <w:ind w:left="170" w:right="170"/>
              <w:rPr>
                <w:b/>
                <w:color w:val="000000"/>
                <w:sz w:val="20"/>
                <w:szCs w:val="20"/>
                <w:u w:val="single"/>
              </w:rPr>
            </w:pPr>
            <w:r w:rsidRPr="003F2F6E">
              <w:rPr>
                <w:b/>
                <w:color w:val="000000"/>
                <w:sz w:val="20"/>
                <w:szCs w:val="20"/>
                <w:u w:val="single"/>
              </w:rPr>
              <w:t>Výpočet:</w:t>
            </w:r>
          </w:p>
          <w:p w:rsidR="005F7068" w:rsidRDefault="005F7068" w:rsidP="00E66FB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3F2F6E">
              <w:rPr>
                <w:color w:val="000000"/>
                <w:sz w:val="20"/>
                <w:szCs w:val="20"/>
              </w:rPr>
              <w:t>Výpočet bude proveden podle vyhlášky č. 480/2012 Sb., o energetickém auditu a energetickém posudku</w:t>
            </w:r>
            <w:r>
              <w:rPr>
                <w:color w:val="000000"/>
                <w:sz w:val="20"/>
                <w:szCs w:val="20"/>
              </w:rPr>
              <w:t xml:space="preserve"> (dle přílohy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č.6 - </w:t>
            </w:r>
            <w:r w:rsidRPr="003F2F6E">
              <w:rPr>
                <w:color w:val="000000"/>
                <w:sz w:val="20"/>
                <w:szCs w:val="20"/>
              </w:rPr>
              <w:t>výpočet</w:t>
            </w:r>
            <w:proofErr w:type="gramEnd"/>
            <w:r w:rsidRPr="003F2F6E">
              <w:rPr>
                <w:color w:val="000000"/>
                <w:sz w:val="20"/>
                <w:szCs w:val="20"/>
              </w:rPr>
              <w:t xml:space="preserve"> emisí CO</w:t>
            </w:r>
            <w:r w:rsidRPr="003F2F6E">
              <w:rPr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) na základě dat uvedených v PENB. </w:t>
            </w:r>
          </w:p>
          <w:p w:rsidR="005F7068" w:rsidRPr="00A553E8" w:rsidRDefault="005F7068" w:rsidP="00E66FBA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A553E8">
              <w:rPr>
                <w:b/>
                <w:sz w:val="20"/>
                <w:szCs w:val="20"/>
              </w:rPr>
              <w:t>ŘO doporučuje, aby byl výpočet proveden energetickým specialistou, jež je držitelem příslušného oprávnění dle § 10, odst. 1, zákona 406/2000 Sb., o hospodaření energií, v platném znění.</w:t>
            </w:r>
          </w:p>
          <w:p w:rsidR="005F7068" w:rsidRDefault="005F7068" w:rsidP="00E66FB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Indikátor měří úsporu vyplívající z realizace projektu: cílová (dosažená hodnota tedy vyjadřuje rozdíl mezi výchozím stavem před a po realizace projektu.</w:t>
            </w:r>
          </w:p>
          <w:p w:rsidR="005F7068" w:rsidRPr="007E7E94" w:rsidRDefault="005F7068" w:rsidP="00E66FB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E7E94">
              <w:rPr>
                <w:color w:val="000000"/>
                <w:sz w:val="20"/>
                <w:szCs w:val="20"/>
              </w:rPr>
              <w:t>Základní vzorec</w:t>
            </w:r>
            <w:r>
              <w:rPr>
                <w:color w:val="000000"/>
                <w:sz w:val="20"/>
                <w:szCs w:val="20"/>
              </w:rPr>
              <w:t xml:space="preserve"> pro výpočet</w:t>
            </w:r>
            <w:r w:rsidRPr="007E7E94">
              <w:rPr>
                <w:color w:val="000000"/>
                <w:sz w:val="20"/>
                <w:szCs w:val="20"/>
              </w:rPr>
              <w:t>:</w:t>
            </w:r>
            <w:r w:rsidRPr="007E7E94" w:rsidDel="001A1797">
              <w:rPr>
                <w:color w:val="000000"/>
                <w:sz w:val="20"/>
                <w:szCs w:val="20"/>
              </w:rPr>
              <w:t xml:space="preserve"> </w:t>
            </w:r>
            <w:r w:rsidRPr="007E7E94">
              <w:rPr>
                <w:color w:val="000000"/>
                <w:sz w:val="20"/>
                <w:szCs w:val="20"/>
              </w:rPr>
              <w:t>(hmotnost paliva) x (výhřevnost paliva) x (emisní faktor uhlíku) x (1 - nedopal)</w:t>
            </w:r>
          </w:p>
          <w:p w:rsidR="005F7068" w:rsidRPr="00832D34" w:rsidRDefault="005F7068" w:rsidP="00E66FBA">
            <w:pPr>
              <w:spacing w:before="120" w:after="120"/>
              <w:ind w:left="170" w:right="170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hmotnost vypu</m:t>
              </m:r>
              <m:r>
                <m:rPr>
                  <m:sty m:val="bi"/>
                </m:rPr>
                <w:rPr>
                  <w:rFonts w:ascii="Cambria Math" w:hAnsi="Cambria Math" w:hint="eastAsia"/>
                  <w:color w:val="000000"/>
                  <w:sz w:val="20"/>
                  <w:szCs w:val="20"/>
                </w:rPr>
                <m:t>š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t</m:t>
              </m:r>
              <m:r>
                <m:rPr>
                  <m:sty m:val="bi"/>
                </m:rPr>
                <w:rPr>
                  <w:rFonts w:ascii="Cambria Math" w:hAnsi="Cambria Math" w:hint="eastAsia"/>
                  <w:color w:val="000000"/>
                  <w:sz w:val="20"/>
                  <w:szCs w:val="20"/>
                </w:rPr>
                <m:t>ě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n</m:t>
              </m:r>
              <m:r>
                <m:rPr>
                  <m:sty m:val="bi"/>
                </m:rPr>
                <w:rPr>
                  <w:rFonts w:ascii="Cambria Math" w:hAnsi="Cambria Math" w:hint="eastAsia"/>
                  <w:color w:val="000000"/>
                  <w:sz w:val="20"/>
                  <w:szCs w:val="20"/>
                </w:rPr>
                <m:t>é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ho 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CO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=hmotnost paliva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hint="eastAsia"/>
                  <w:color w:val="000000"/>
                  <w:sz w:val="20"/>
                  <w:szCs w:val="20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v</m:t>
              </m:r>
              <m:r>
                <m:rPr>
                  <m:sty m:val="bi"/>
                </m:rPr>
                <w:rPr>
                  <w:rFonts w:ascii="Cambria Math" w:hAnsi="Cambria Math" w:hint="eastAsia"/>
                  <w:color w:val="000000"/>
                  <w:sz w:val="20"/>
                  <w:szCs w:val="20"/>
                </w:rPr>
                <m:t>ý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h</m:t>
              </m:r>
              <m:r>
                <m:rPr>
                  <m:sty m:val="bi"/>
                </m:rPr>
                <w:rPr>
                  <w:rFonts w:ascii="Cambria Math" w:hAnsi="Cambria Math" w:hint="eastAsia"/>
                  <w:color w:val="000000"/>
                  <w:sz w:val="20"/>
                  <w:szCs w:val="20"/>
                </w:rPr>
                <m:t>ř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evnost paliva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MJ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kg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x 0,277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 </m:t>
              </m:r>
              <m:r>
                <m:rPr>
                  <m:sty m:val="bi"/>
                </m:rPr>
                <w:rPr>
                  <w:rFonts w:ascii="Cambria Math" w:hAnsi="Cambria Math" w:hint="eastAsia"/>
                  <w:color w:val="000000"/>
                  <w:sz w:val="20"/>
                  <w:szCs w:val="20"/>
                </w:rPr>
                <m:t>×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>emisn</m:t>
              </m:r>
              <m:r>
                <m:rPr>
                  <m:sty m:val="bi"/>
                </m:rPr>
                <w:rPr>
                  <w:rFonts w:ascii="Cambria Math" w:hAnsi="Cambria Math" w:hint="eastAsia"/>
                  <w:color w:val="000000"/>
                  <w:sz w:val="20"/>
                  <w:szCs w:val="20"/>
                </w:rPr>
                <m:t>í</m:t>
              </m:r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 faktor paliva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b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t</m:t>
                      </m:r>
                    </m:num>
                    <m:den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</w:rPr>
                        <m:t>Mwh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 </m:t>
              </m:r>
            </m:oMath>
            <w:r>
              <w:rPr>
                <w:rFonts w:eastAsiaTheme="minorEastAsia"/>
                <w:b/>
                <w:color w:val="000000"/>
                <w:sz w:val="20"/>
                <w:szCs w:val="20"/>
              </w:rPr>
              <w:t xml:space="preserve"> </w:t>
            </w:r>
          </w:p>
          <w:p w:rsidR="005F7068" w:rsidRPr="00832D34" w:rsidRDefault="005F7068" w:rsidP="00E66FBA">
            <w:pPr>
              <w:spacing w:before="120" w:after="120"/>
              <w:ind w:left="170" w:right="170"/>
              <w:jc w:val="both"/>
              <w:rPr>
                <w:rFonts w:eastAsiaTheme="minorEastAsia"/>
                <w:b/>
                <w:color w:val="000000"/>
                <w:sz w:val="20"/>
                <w:szCs w:val="20"/>
              </w:rPr>
            </w:pPr>
            <w:r w:rsidRPr="00E119BC">
              <w:rPr>
                <w:b/>
                <w:color w:val="000000"/>
                <w:sz w:val="20"/>
                <w:szCs w:val="20"/>
              </w:rPr>
              <w:t xml:space="preserve">Pokud žadatel nemá možnost získat od výrobce hodnotu výhřevnosti paliva, může analogicky vyjít z upravené rovnice níže, která je založena na hodnotě </w:t>
            </w:r>
            <w:r w:rsidRPr="001C5165">
              <w:rPr>
                <w:b/>
                <w:color w:val="000000"/>
                <w:sz w:val="20"/>
                <w:szCs w:val="20"/>
              </w:rPr>
              <w:t>celkové roční spotřeby</w:t>
            </w:r>
            <w:r w:rsidRPr="00E119BC">
              <w:rPr>
                <w:b/>
                <w:color w:val="000000"/>
                <w:sz w:val="20"/>
                <w:szCs w:val="20"/>
              </w:rPr>
              <w:t xml:space="preserve"> primární energie z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1C5165">
              <w:rPr>
                <w:b/>
                <w:color w:val="000000"/>
                <w:sz w:val="20"/>
                <w:szCs w:val="20"/>
              </w:rPr>
              <w:t>PEN</w:t>
            </w:r>
            <w:r w:rsidRPr="00E119BC">
              <w:rPr>
                <w:b/>
                <w:color w:val="000000"/>
                <w:sz w:val="20"/>
                <w:szCs w:val="20"/>
              </w:rPr>
              <w:t>B</w:t>
            </w:r>
            <w:r>
              <w:rPr>
                <w:b/>
                <w:color w:val="000000"/>
                <w:sz w:val="20"/>
                <w:szCs w:val="20"/>
              </w:rPr>
              <w:t xml:space="preserve"> (pro jednotlivé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energonostele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  <w:r w:rsidRPr="001C5165">
              <w:rPr>
                <w:b/>
                <w:color w:val="000000"/>
                <w:sz w:val="20"/>
                <w:szCs w:val="20"/>
              </w:rPr>
              <w:t>:</w:t>
            </w:r>
          </w:p>
          <w:p w:rsidR="005F7068" w:rsidRDefault="005F7068" w:rsidP="00E66FBA">
            <w:pPr>
              <w:spacing w:before="120" w:after="120"/>
              <w:ind w:left="170" w:right="170"/>
              <w:rPr>
                <w:rFonts w:eastAsiaTheme="minorEastAsia"/>
                <w:i/>
                <w:color w:val="000000"/>
                <w:sz w:val="20"/>
                <w:szCs w:val="20"/>
              </w:rPr>
            </w:pPr>
            <m:oMath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hmotnost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2</m:t>
                  </m:r>
                </m:sub>
              </m:sSub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t</m:t>
                  </m:r>
                </m:e>
              </m:d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celková primárná energie</m:t>
                  </m:r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  <w:lang w:val="en-US"/>
                    </w:rPr>
                    <m:t>[kWh]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sz w:val="20"/>
                      <w:szCs w:val="20"/>
                    </w:rPr>
                    <m:t>1000</m:t>
                  </m:r>
                </m:den>
              </m:f>
              <m:r>
                <w:rPr>
                  <w:rFonts w:ascii="Cambria Math" w:hAnsi="Cambria Math" w:hint="eastAsia"/>
                  <w:color w:val="000000"/>
                  <w:sz w:val="20"/>
                  <w:szCs w:val="20"/>
                </w:rPr>
                <m:t>×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>emisn</m:t>
              </m:r>
              <m:r>
                <w:rPr>
                  <w:rFonts w:ascii="Cambria Math" w:hAnsi="Cambria Math" w:hint="eastAsia"/>
                  <w:color w:val="000000"/>
                  <w:sz w:val="20"/>
                  <w:szCs w:val="20"/>
                </w:rPr>
                <m:t>í</m:t>
              </m:r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 faktor paliva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000000"/>
                      <w:sz w:val="20"/>
                      <w:szCs w:val="20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  <w:szCs w:val="20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20"/>
                          <w:szCs w:val="20"/>
                          <w:lang w:val="en-US"/>
                        </w:rPr>
                        <m:t>Mwh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  <w:sz w:val="20"/>
                  <w:szCs w:val="20"/>
                </w:rPr>
                <m:t xml:space="preserve">  ×   </m:t>
              </m:r>
            </m:oMath>
            <w:r>
              <w:rPr>
                <w:rFonts w:eastAsiaTheme="minorEastAsia"/>
                <w:i/>
                <w:color w:val="000000"/>
                <w:sz w:val="20"/>
                <w:szCs w:val="20"/>
              </w:rPr>
              <w:t xml:space="preserve">(1 - </w:t>
            </w:r>
            <w:r w:rsidRPr="00E119BC">
              <w:rPr>
                <w:rFonts w:eastAsiaTheme="minorEastAsia"/>
                <w:i/>
                <w:color w:val="000000"/>
                <w:sz w:val="20"/>
                <w:szCs w:val="20"/>
              </w:rPr>
              <w:t>nedopal)</w:t>
            </w:r>
          </w:p>
          <w:p w:rsidR="005F7068" w:rsidRDefault="005F7068" w:rsidP="00E66FB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Dle uvedené rovnice žadatel vypočte hodnotu pro stav před projektem (pokud pocházela spotřebovávaná energie z více zdrojů, vypočte zvlášť tuto hodnotu pro každý zdroj zvlášť (vynásobí vzorec podílem, jakým se daný zdroj podílí na </w:t>
            </w:r>
            <w:r w:rsidRPr="00F606DE">
              <w:rPr>
                <w:sz w:val="20"/>
                <w:szCs w:val="20"/>
              </w:rPr>
              <w:t xml:space="preserve">množství </w:t>
            </w:r>
            <w:r>
              <w:rPr>
                <w:sz w:val="20"/>
                <w:szCs w:val="20"/>
              </w:rPr>
              <w:t xml:space="preserve">spotřebované </w:t>
            </w:r>
            <w:r w:rsidRPr="00F606DE">
              <w:rPr>
                <w:sz w:val="20"/>
                <w:szCs w:val="20"/>
              </w:rPr>
              <w:t>primární energie</w:t>
            </w:r>
            <w:r>
              <w:rPr>
                <w:color w:val="000000"/>
                <w:sz w:val="20"/>
                <w:szCs w:val="20"/>
              </w:rPr>
              <w:t xml:space="preserve"> v daném roce). </w:t>
            </w:r>
          </w:p>
          <w:p w:rsidR="005F7068" w:rsidRPr="001C5165" w:rsidRDefault="005F7068" w:rsidP="00E66FBA">
            <w:pPr>
              <w:spacing w:before="120" w:after="120"/>
              <w:ind w:left="170" w:right="170"/>
              <w:jc w:val="both"/>
              <w:rPr>
                <w:b/>
                <w:color w:val="000000"/>
                <w:sz w:val="20"/>
                <w:szCs w:val="20"/>
              </w:rPr>
            </w:pPr>
            <w:r w:rsidRPr="001C5165">
              <w:rPr>
                <w:b/>
                <w:color w:val="000000"/>
                <w:sz w:val="20"/>
                <w:szCs w:val="20"/>
              </w:rPr>
              <w:t>Stejný výpočet provede na základě nového PENB i pro stav po projektu a tuto hodnotu odečte od hodnoty výchozího stavu.</w:t>
            </w:r>
          </w:p>
          <w:p w:rsidR="005F7068" w:rsidRDefault="005F7068" w:rsidP="00E66FBA">
            <w:pPr>
              <w:spacing w:before="120" w:after="120"/>
              <w:ind w:left="170" w:right="170"/>
              <w:jc w:val="both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3F2F6E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Emisní faktory uhlíku uvádí množství uhlíku, respektive oxidu uhličitého, připadajícího na jednotku energie ve spalovaném palivu.</w:t>
            </w:r>
          </w:p>
          <w:p w:rsidR="005F7068" w:rsidRPr="00A77BE1" w:rsidRDefault="005F7068" w:rsidP="00E66FBA">
            <w:pPr>
              <w:spacing w:before="120" w:after="120"/>
              <w:ind w:left="708" w:right="170"/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</w:pPr>
            <w:r w:rsidRPr="001C5165">
              <w:rPr>
                <w:rFonts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Všeobecné </w:t>
            </w:r>
            <w:r w:rsidRPr="007E7E94">
              <w:rPr>
                <w:rFonts w:cs="Arial"/>
                <w:b/>
                <w:i/>
                <w:color w:val="000000"/>
                <w:sz w:val="20"/>
                <w:szCs w:val="20"/>
                <w:u w:val="single"/>
                <w:shd w:val="clear" w:color="auto" w:fill="FFFFFF"/>
              </w:rPr>
              <w:t>emisní faktory</w:t>
            </w:r>
            <w:r w:rsidRPr="001C5165">
              <w:rPr>
                <w:rFonts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oxidu uhličitého pro jednotlivé druhy paliv</w:t>
            </w:r>
            <w:r>
              <w:rPr>
                <w:rFonts w:cs="Arial"/>
                <w:b/>
                <w:i/>
                <w:color w:val="000000"/>
                <w:sz w:val="20"/>
                <w:szCs w:val="20"/>
                <w:shd w:val="clear" w:color="auto" w:fill="FFFFFF"/>
              </w:rPr>
              <w:t xml:space="preserve"> dle </w:t>
            </w:r>
            <w:r w:rsidRPr="003F2F6E">
              <w:rPr>
                <w:color w:val="000000"/>
                <w:sz w:val="20"/>
                <w:szCs w:val="20"/>
              </w:rPr>
              <w:t>č. 480/2012 Sb</w:t>
            </w:r>
            <w:r>
              <w:rPr>
                <w:color w:val="000000"/>
                <w:sz w:val="20"/>
                <w:szCs w:val="20"/>
              </w:rPr>
              <w:t>.:</w:t>
            </w:r>
          </w:p>
          <w:tbl>
            <w:tblPr>
              <w:tblpPr w:leftFromText="141" w:rightFromText="141" w:vertAnchor="text" w:horzAnchor="margin" w:tblpXSpec="center" w:tblpY="61"/>
              <w:tblOverlap w:val="never"/>
              <w:tblW w:w="0" w:type="auto"/>
              <w:tblBorders>
                <w:top w:val="single" w:sz="6" w:space="0" w:color="888888"/>
                <w:left w:val="single" w:sz="6" w:space="0" w:color="888888"/>
                <w:bottom w:val="single" w:sz="6" w:space="0" w:color="888888"/>
                <w:right w:val="single" w:sz="6" w:space="0" w:color="888888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3"/>
              <w:gridCol w:w="4110"/>
            </w:tblGrid>
            <w:tr w:rsidR="005F7068" w:rsidRPr="00AB2961" w:rsidTr="00E66FBA">
              <w:tc>
                <w:tcPr>
                  <w:tcW w:w="3253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5F7068" w:rsidRPr="003F2F6E" w:rsidRDefault="005F7068" w:rsidP="00E66FBA">
                  <w:pPr>
                    <w:spacing w:after="0" w:line="240" w:lineRule="auto"/>
                    <w:ind w:left="17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Hnědé uhlí</w:t>
                  </w:r>
                </w:p>
              </w:tc>
              <w:tc>
                <w:tcPr>
                  <w:tcW w:w="411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5F7068" w:rsidRPr="003F2F6E" w:rsidRDefault="005F7068" w:rsidP="00E66FBA">
                  <w:pPr>
                    <w:spacing w:after="0" w:line="240" w:lineRule="auto"/>
                    <w:ind w:left="17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0,36 t CO</w:t>
                  </w: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vertAlign w:val="subscript"/>
                      <w:lang w:eastAsia="cs-CZ"/>
                    </w:rPr>
                    <w:t>2</w:t>
                  </w: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/MWh výhřevnosti paliva</w:t>
                  </w:r>
                </w:p>
              </w:tc>
            </w:tr>
            <w:tr w:rsidR="005F7068" w:rsidRPr="00AB2961" w:rsidTr="00E66FBA">
              <w:tc>
                <w:tcPr>
                  <w:tcW w:w="3253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5F7068" w:rsidRPr="003F2F6E" w:rsidRDefault="005F7068" w:rsidP="00E66FBA">
                  <w:pPr>
                    <w:spacing w:after="0" w:line="240" w:lineRule="auto"/>
                    <w:ind w:left="17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Černé uhlí</w:t>
                  </w:r>
                </w:p>
              </w:tc>
              <w:tc>
                <w:tcPr>
                  <w:tcW w:w="411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5F7068" w:rsidRPr="003F2F6E" w:rsidRDefault="005F7068" w:rsidP="00E66FBA">
                  <w:pPr>
                    <w:spacing w:after="0" w:line="240" w:lineRule="auto"/>
                    <w:ind w:left="17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0,33 t CO</w:t>
                  </w: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vertAlign w:val="subscript"/>
                      <w:lang w:eastAsia="cs-CZ"/>
                    </w:rPr>
                    <w:t>2</w:t>
                  </w: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/MWh výhřevnosti paliva</w:t>
                  </w:r>
                </w:p>
              </w:tc>
            </w:tr>
            <w:tr w:rsidR="005F7068" w:rsidRPr="00AB2961" w:rsidTr="00E66FBA">
              <w:tc>
                <w:tcPr>
                  <w:tcW w:w="3253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5F7068" w:rsidRPr="003F2F6E" w:rsidRDefault="005F7068" w:rsidP="00E66FBA">
                  <w:pPr>
                    <w:spacing w:after="0" w:line="240" w:lineRule="auto"/>
                    <w:ind w:left="17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TTO</w:t>
                  </w:r>
                </w:p>
              </w:tc>
              <w:tc>
                <w:tcPr>
                  <w:tcW w:w="411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5F7068" w:rsidRPr="003F2F6E" w:rsidRDefault="005F7068" w:rsidP="00E66FBA">
                  <w:pPr>
                    <w:spacing w:after="0" w:line="240" w:lineRule="auto"/>
                    <w:ind w:left="17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0,27 t CO</w:t>
                  </w: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vertAlign w:val="subscript"/>
                      <w:lang w:eastAsia="cs-CZ"/>
                    </w:rPr>
                    <w:t>2</w:t>
                  </w: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/MWh výhřevnosti paliva</w:t>
                  </w:r>
                </w:p>
              </w:tc>
            </w:tr>
            <w:tr w:rsidR="005F7068" w:rsidRPr="00AB2961" w:rsidTr="00E66FBA">
              <w:tc>
                <w:tcPr>
                  <w:tcW w:w="3253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5F7068" w:rsidRPr="003F2F6E" w:rsidRDefault="005F7068" w:rsidP="00E66FBA">
                  <w:pPr>
                    <w:spacing w:after="0" w:line="240" w:lineRule="auto"/>
                    <w:ind w:left="17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LTO</w:t>
                  </w:r>
                </w:p>
              </w:tc>
              <w:tc>
                <w:tcPr>
                  <w:tcW w:w="411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5F7068" w:rsidRPr="003F2F6E" w:rsidRDefault="005F7068" w:rsidP="00E66FBA">
                  <w:pPr>
                    <w:spacing w:after="0" w:line="240" w:lineRule="auto"/>
                    <w:ind w:left="17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0,26 t CO</w:t>
                  </w: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vertAlign w:val="subscript"/>
                      <w:lang w:eastAsia="cs-CZ"/>
                    </w:rPr>
                    <w:t>2</w:t>
                  </w: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/MWh výhřevnosti paliva</w:t>
                  </w:r>
                </w:p>
              </w:tc>
            </w:tr>
            <w:tr w:rsidR="005F7068" w:rsidRPr="00AB2961" w:rsidTr="00E66FBA">
              <w:trPr>
                <w:trHeight w:val="222"/>
              </w:trPr>
              <w:tc>
                <w:tcPr>
                  <w:tcW w:w="3253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5F7068" w:rsidRPr="003F2F6E" w:rsidRDefault="005F7068" w:rsidP="00E66FBA">
                  <w:pPr>
                    <w:spacing w:after="0" w:line="240" w:lineRule="auto"/>
                    <w:ind w:left="17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Zemní plyn</w:t>
                  </w:r>
                </w:p>
              </w:tc>
              <w:tc>
                <w:tcPr>
                  <w:tcW w:w="411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5F7068" w:rsidRPr="003F2F6E" w:rsidRDefault="005F7068" w:rsidP="00E66FBA">
                  <w:pPr>
                    <w:spacing w:after="0" w:line="240" w:lineRule="auto"/>
                    <w:ind w:left="17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0,20 t CO</w:t>
                  </w: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vertAlign w:val="subscript"/>
                      <w:lang w:eastAsia="cs-CZ"/>
                    </w:rPr>
                    <w:t>2</w:t>
                  </w: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/MWh výhřevnosti paliva</w:t>
                  </w:r>
                </w:p>
              </w:tc>
            </w:tr>
            <w:tr w:rsidR="005F7068" w:rsidRPr="00AB2961" w:rsidTr="00E66FBA">
              <w:tc>
                <w:tcPr>
                  <w:tcW w:w="3253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5F7068" w:rsidRPr="003F2F6E" w:rsidRDefault="005F7068" w:rsidP="00E66FBA">
                  <w:pPr>
                    <w:spacing w:after="0" w:line="240" w:lineRule="auto"/>
                    <w:ind w:left="17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Biomasa</w:t>
                  </w:r>
                </w:p>
              </w:tc>
              <w:tc>
                <w:tcPr>
                  <w:tcW w:w="411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5F7068" w:rsidRPr="003F2F6E" w:rsidRDefault="005F7068" w:rsidP="00E66FBA">
                  <w:pPr>
                    <w:spacing w:after="0" w:line="240" w:lineRule="auto"/>
                    <w:ind w:left="17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0 t CO</w:t>
                  </w: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vertAlign w:val="subscript"/>
                      <w:lang w:eastAsia="cs-CZ"/>
                    </w:rPr>
                    <w:t>2</w:t>
                  </w: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/MWh výhřevnosti paliva</w:t>
                  </w:r>
                </w:p>
              </w:tc>
            </w:tr>
            <w:tr w:rsidR="005F7068" w:rsidRPr="00AB2961" w:rsidTr="00E66FBA">
              <w:tc>
                <w:tcPr>
                  <w:tcW w:w="3253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5F7068" w:rsidRPr="003F2F6E" w:rsidRDefault="005F7068" w:rsidP="00E66FBA">
                  <w:pPr>
                    <w:spacing w:after="0" w:line="240" w:lineRule="auto"/>
                    <w:ind w:left="17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Elektřina</w:t>
                  </w:r>
                </w:p>
              </w:tc>
              <w:tc>
                <w:tcPr>
                  <w:tcW w:w="4110" w:type="dxa"/>
                  <w:tcBorders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tcBorders>
                  <w:shd w:val="clear" w:color="auto" w:fill="FFFFFF"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5F7068" w:rsidRPr="003F2F6E" w:rsidRDefault="005F7068" w:rsidP="00E66FBA">
                  <w:pPr>
                    <w:spacing w:after="0" w:line="240" w:lineRule="auto"/>
                    <w:ind w:left="170"/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</w:pP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1,17 t CO</w:t>
                  </w: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vertAlign w:val="subscript"/>
                      <w:lang w:eastAsia="cs-CZ"/>
                    </w:rPr>
                    <w:t>2</w:t>
                  </w:r>
                  <w:r w:rsidRPr="003F2F6E">
                    <w:rPr>
                      <w:rFonts w:eastAsia="Times New Roman" w:cs="Arial"/>
                      <w:color w:val="000000"/>
                      <w:sz w:val="20"/>
                      <w:szCs w:val="20"/>
                      <w:lang w:eastAsia="cs-CZ"/>
                    </w:rPr>
                    <w:t>/MWh elektřiny</w:t>
                  </w:r>
                </w:p>
              </w:tc>
            </w:tr>
          </w:tbl>
          <w:p w:rsidR="005F7068" w:rsidRDefault="005F7068" w:rsidP="00E66FBA">
            <w:pPr>
              <w:spacing w:before="120" w:after="120"/>
              <w:ind w:right="170"/>
              <w:rPr>
                <w:rFonts w:eastAsiaTheme="minorEastAsia"/>
                <w:b/>
              </w:rPr>
            </w:pPr>
          </w:p>
          <w:p w:rsidR="005F7068" w:rsidRDefault="005F7068" w:rsidP="00E66FBA">
            <w:pPr>
              <w:spacing w:before="120" w:after="120"/>
              <w:ind w:right="170"/>
              <w:rPr>
                <w:rFonts w:eastAsiaTheme="minorEastAsia"/>
                <w:b/>
              </w:rPr>
            </w:pPr>
          </w:p>
          <w:p w:rsidR="005F7068" w:rsidRDefault="005F7068" w:rsidP="00E66FBA">
            <w:pPr>
              <w:spacing w:before="120" w:after="120"/>
              <w:ind w:right="170"/>
              <w:rPr>
                <w:rFonts w:eastAsiaTheme="minorEastAsia"/>
                <w:b/>
              </w:rPr>
            </w:pPr>
          </w:p>
          <w:p w:rsidR="005F7068" w:rsidRDefault="005F7068" w:rsidP="00E66FBA">
            <w:pPr>
              <w:spacing w:before="120" w:after="120"/>
              <w:ind w:right="170"/>
              <w:rPr>
                <w:rFonts w:eastAsiaTheme="minorEastAsia"/>
                <w:b/>
              </w:rPr>
            </w:pPr>
          </w:p>
          <w:p w:rsidR="005F7068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</w:p>
          <w:p w:rsidR="005F7068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</w:p>
          <w:p w:rsidR="005F7068" w:rsidRPr="00A77BE1" w:rsidRDefault="005F7068" w:rsidP="00E66FBA">
            <w:pPr>
              <w:spacing w:before="120" w:after="120"/>
              <w:ind w:left="170" w:right="170"/>
              <w:rPr>
                <w:b/>
                <w:color w:val="000000"/>
                <w:sz w:val="20"/>
                <w:szCs w:val="20"/>
              </w:rPr>
            </w:pPr>
            <w:r w:rsidRPr="00A77BE1">
              <w:rPr>
                <w:b/>
                <w:color w:val="000000"/>
                <w:sz w:val="20"/>
                <w:szCs w:val="20"/>
              </w:rPr>
              <w:t>Standardně doporučené hodnoty pro nedopal, jsou:</w:t>
            </w:r>
          </w:p>
          <w:p w:rsidR="005F7068" w:rsidRDefault="005F7068" w:rsidP="005F7068">
            <w:pPr>
              <w:pStyle w:val="Odstavecseseznamem"/>
              <w:numPr>
                <w:ilvl w:val="0"/>
                <w:numId w:val="4"/>
              </w:numPr>
              <w:spacing w:before="120" w:after="120"/>
              <w:ind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 (tj. 2 %) pro tuhá paliva,</w:t>
            </w:r>
          </w:p>
          <w:p w:rsidR="005F7068" w:rsidRDefault="005F7068" w:rsidP="005F7068">
            <w:pPr>
              <w:pStyle w:val="Odstavecseseznamem"/>
              <w:numPr>
                <w:ilvl w:val="0"/>
                <w:numId w:val="4"/>
              </w:numPr>
              <w:spacing w:before="120" w:after="120"/>
              <w:ind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0,01 pro kapalná paliva a 0,005 pro plynná paliva.</w:t>
            </w:r>
          </w:p>
          <w:p w:rsidR="005F7068" w:rsidRDefault="005F7068" w:rsidP="00E66FBA">
            <w:pPr>
              <w:spacing w:before="120" w:after="120"/>
              <w:ind w:right="17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hodnota 0,02 je vhodná pro práškové spalování uhlí, při spalování v roštových topeništích a zejména v domácích kamnech mohou být hodnoty </w:t>
            </w:r>
            <w:proofErr w:type="spellStart"/>
            <w:r>
              <w:rPr>
                <w:color w:val="000000"/>
                <w:sz w:val="20"/>
                <w:szCs w:val="20"/>
              </w:rPr>
              <w:t>nedopalu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vyšší (např. 5 %).</w:t>
            </w:r>
          </w:p>
          <w:p w:rsidR="005F7068" w:rsidRPr="001C5165" w:rsidRDefault="005F7068" w:rsidP="00E66FBA">
            <w:pPr>
              <w:spacing w:before="120" w:after="120"/>
              <w:ind w:right="170"/>
              <w:jc w:val="both"/>
              <w:rPr>
                <w:rFonts w:eastAsiaTheme="minorEastAsia"/>
                <w:b/>
              </w:rPr>
            </w:pPr>
            <w:r>
              <w:rPr>
                <w:color w:val="000000"/>
                <w:sz w:val="20"/>
                <w:szCs w:val="20"/>
              </w:rPr>
              <w:t>Pokud projekt odebírá teplo z centrálního zdroje tepla (CZT), je nutné emisní faktor stanovit individuálně z dat poskytnutých daný dodavatelem.</w:t>
            </w:r>
          </w:p>
        </w:tc>
      </w:tr>
    </w:tbl>
    <w:p w:rsidR="005F7068" w:rsidRDefault="005F7068" w:rsidP="005F7068">
      <w:pPr>
        <w:rPr>
          <w:b/>
        </w:rPr>
      </w:pPr>
    </w:p>
    <w:p w:rsidR="005F7068" w:rsidRDefault="005F7068" w:rsidP="005F7068">
      <w:pPr>
        <w:rPr>
          <w:b/>
        </w:rPr>
      </w:pPr>
      <w:r>
        <w:rPr>
          <w:b/>
        </w:rPr>
        <w:br w:type="page"/>
      </w:r>
    </w:p>
    <w:p w:rsidR="005F7068" w:rsidRPr="00680AC7" w:rsidRDefault="005F7068" w:rsidP="005F7068"/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F7068" w:rsidRPr="0098535B" w:rsidTr="00E66FBA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8535B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F7068" w:rsidRPr="0098535B" w:rsidTr="00E66FBA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F7068" w:rsidRPr="0098535B" w:rsidTr="00E66FBA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068" w:rsidRPr="00194C06" w:rsidRDefault="005F7068" w:rsidP="00E66FBA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B53BE6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domácností s lépe klasifikovanou spotřebou energie</w:t>
            </w:r>
          </w:p>
        </w:tc>
      </w:tr>
      <w:tr w:rsidR="005F7068" w:rsidRPr="0098535B" w:rsidTr="00E66FBA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F7068" w:rsidRPr="0098535B" w:rsidTr="00E66FBA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2E521A">
              <w:rPr>
                <w:b/>
                <w:bCs/>
                <w:color w:val="000000"/>
              </w:rPr>
              <w:t>3 24 01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B53BE6">
              <w:rPr>
                <w:b/>
                <w:bCs/>
                <w:color w:val="000000"/>
              </w:rPr>
              <w:t>Domácnosti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(přidružený)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F7068" w:rsidRPr="0098535B" w:rsidTr="00E66FBA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F7068" w:rsidRPr="0098535B" w:rsidTr="00E66FBA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068" w:rsidRPr="00B276E4" w:rsidRDefault="005F7068" w:rsidP="00E66FB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B53BE6">
              <w:rPr>
                <w:sz w:val="20"/>
                <w:szCs w:val="20"/>
              </w:rPr>
              <w:t>Počet rezidenčních nemovitostí s inovovanou energetickou klasifikací – viz Směrnice 2010/31/EU. Inovovaná klasifikace musí být přímým následkem realizace projektu.</w:t>
            </w:r>
          </w:p>
        </w:tc>
      </w:tr>
      <w:tr w:rsidR="005F7068" w:rsidRPr="0098535B" w:rsidTr="00E66FBA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Specifický</w:t>
            </w:r>
            <w:r w:rsidRPr="002944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>cíl (SC)</w:t>
            </w:r>
          </w:p>
        </w:tc>
      </w:tr>
      <w:tr w:rsidR="005F7068" w:rsidRPr="0098535B" w:rsidTr="00E66FBA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</w:rPr>
              <w:t xml:space="preserve">2 </w:t>
            </w:r>
            <w:r w:rsidRPr="00CD318D">
              <w:rPr>
                <w:sz w:val="20"/>
                <w:szCs w:val="20"/>
              </w:rPr>
              <w:t xml:space="preserve">- </w:t>
            </w:r>
            <w:r w:rsidRPr="006B2D24">
              <w:rPr>
                <w:sz w:val="20"/>
                <w:szCs w:val="20"/>
              </w:rPr>
              <w:t>Zkvalitnění veřejných služeb a podmínek života pro obyvatele regionů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2.5 </w:t>
            </w:r>
            <w:r>
              <w:rPr>
                <w:color w:val="000000"/>
              </w:rPr>
              <w:t>-</w:t>
            </w:r>
            <w:r w:rsidRPr="00294487">
              <w:rPr>
                <w:color w:val="000000"/>
              </w:rPr>
              <w:t xml:space="preserve"> </w:t>
            </w:r>
            <w:r w:rsidRPr="00D2776C">
              <w:rPr>
                <w:sz w:val="20"/>
                <w:szCs w:val="20"/>
              </w:rPr>
              <w:t>Snížení energetické náročnosti v sektoru bydlení</w:t>
            </w:r>
          </w:p>
        </w:tc>
      </w:tr>
      <w:tr w:rsidR="005F7068" w:rsidRPr="0098535B" w:rsidTr="00E66FBA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F7068" w:rsidRPr="0098535B" w:rsidTr="00E66FBA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5F7068" w:rsidRPr="0098535B" w:rsidTr="00E66FBA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F7068" w:rsidRPr="0098535B" w:rsidTr="00E66FBA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F7068" w:rsidRDefault="005F7068" w:rsidP="00E66FBA">
            <w:pPr>
              <w:pStyle w:val="text"/>
              <w:spacing w:before="120" w:after="120" w:line="276" w:lineRule="auto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Indikátor je povinný k výběru a naplnění u projektů, jejichž součástí jsou bytové jednotky, u kterých dojde ke snížení spotřeby energie a které zároveň prostřednictvím realizace podporovaných opatření dosáhnou lepšího klasifikačního stupně podle protokolů průkazů energetické náročnosti budov (rozdíl mezi klasifikační třídou bytového domu před realizací a klasifikační třídou bytového domu po realizaci bude roven minimálně jednomu stupni).</w:t>
            </w:r>
          </w:p>
          <w:p w:rsidR="005F7068" w:rsidRPr="003F2F6E" w:rsidRDefault="005F7068" w:rsidP="00E66FBA">
            <w:pPr>
              <w:pStyle w:val="text"/>
              <w:spacing w:before="240" w:after="120"/>
              <w:ind w:left="170" w:right="170"/>
              <w:rPr>
                <w:sz w:val="20"/>
                <w:szCs w:val="20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hodnota:</w:t>
            </w:r>
            <w:r w:rsidRPr="009D35EF">
              <w:rPr>
                <w:b/>
                <w:sz w:val="20"/>
                <w:szCs w:val="20"/>
              </w:rPr>
              <w:t xml:space="preserve"> </w:t>
            </w:r>
            <w:r w:rsidRPr="003F2F6E">
              <w:rPr>
                <w:sz w:val="20"/>
                <w:szCs w:val="20"/>
              </w:rPr>
              <w:t>Plánovaný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celkový počet domácností (bytových jednotek) v bytovém domě, který prostřednictvím realizace podporovaných opatření dosáhne lepšího klasifikačního stupně podle protokolů průkazů energetické náročnosti budov (rozdíl mezi klasifikační třídou bytového domu před realizací a klasifikační třídou bytového domu po realizaci bude roven minimálně jednomu stupni).</w:t>
            </w:r>
            <w:r w:rsidRPr="00B276E4" w:rsidDel="00C70BA7">
              <w:rPr>
                <w:sz w:val="20"/>
                <w:szCs w:val="20"/>
              </w:rPr>
              <w:t xml:space="preserve"> </w:t>
            </w:r>
          </w:p>
          <w:p w:rsidR="005F7068" w:rsidRPr="003F2F6E" w:rsidRDefault="005F7068" w:rsidP="00E66FBA">
            <w:pPr>
              <w:pStyle w:val="text"/>
              <w:spacing w:before="240" w:after="120"/>
              <w:ind w:left="170" w:right="170"/>
              <w:rPr>
                <w:sz w:val="20"/>
                <w:szCs w:val="20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Dosažená hodnota:</w:t>
            </w:r>
            <w:r w:rsidRPr="009D35E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celkový počet domácností (bytových jednotek) v bytovém domě, který prostřednictvím realizace podporovaných opatření dosáhne lepšího klasifikačního stupně podle protokolů průkazů energetické náročnosti budov (rozdíl mezi klasifikační třídou před realizací a klasifikační třídou po realizaci bude roven minimálně jednomu stupni).</w:t>
            </w:r>
            <w:r w:rsidRPr="00B276E4" w:rsidDel="00C70BA7">
              <w:rPr>
                <w:sz w:val="20"/>
                <w:szCs w:val="20"/>
              </w:rPr>
              <w:t xml:space="preserve"> </w:t>
            </w:r>
          </w:p>
          <w:p w:rsidR="005F7068" w:rsidRPr="003F2F6E" w:rsidRDefault="005F7068" w:rsidP="00E66FBA">
            <w:pPr>
              <w:pStyle w:val="text"/>
              <w:spacing w:before="120" w:after="0" w:line="276" w:lineRule="auto"/>
              <w:ind w:left="170" w:right="170"/>
              <w:rPr>
                <w:b/>
                <w:sz w:val="20"/>
                <w:szCs w:val="20"/>
              </w:rPr>
            </w:pPr>
            <w:r w:rsidRPr="00D82F42">
              <w:rPr>
                <w:b/>
                <w:sz w:val="20"/>
                <w:szCs w:val="20"/>
              </w:rPr>
              <w:t>Tolerance</w:t>
            </w:r>
            <w:r>
              <w:rPr>
                <w:b/>
                <w:sz w:val="20"/>
                <w:szCs w:val="20"/>
              </w:rPr>
              <w:t xml:space="preserve">: ŽÁDNÁ, </w:t>
            </w:r>
            <w:r>
              <w:rPr>
                <w:sz w:val="20"/>
                <w:szCs w:val="20"/>
              </w:rPr>
              <w:t>ž</w:t>
            </w:r>
            <w:r w:rsidRPr="009D35EF">
              <w:rPr>
                <w:sz w:val="20"/>
                <w:szCs w:val="20"/>
              </w:rPr>
              <w:t xml:space="preserve">adatel se zavazuje cílovou hodnotu naplnit </w:t>
            </w:r>
            <w:r>
              <w:rPr>
                <w:sz w:val="20"/>
                <w:szCs w:val="20"/>
              </w:rPr>
              <w:t>nejpozději k datu ukončení realizace projektu.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 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 xml:space="preserve"> pro žadatele,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cílové hodnoty sankcionováno.</w:t>
            </w:r>
          </w:p>
          <w:p w:rsidR="005F7068" w:rsidRPr="00B276E4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lastRenderedPageBreak/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</w:t>
            </w:r>
            <w:r>
              <w:rPr>
                <w:sz w:val="20"/>
                <w:szCs w:val="20"/>
              </w:rPr>
              <w:t xml:space="preserve">nění cílové hodnoty indikátoru, </w:t>
            </w:r>
            <w:r w:rsidRPr="00BB1C6F">
              <w:rPr>
                <w:sz w:val="20"/>
                <w:szCs w:val="20"/>
              </w:rPr>
              <w:t>je stanovena v Podmínkách rozhodnutí o poskytnutí dotace.</w:t>
            </w:r>
          </w:p>
        </w:tc>
      </w:tr>
      <w:tr w:rsidR="005F7068" w:rsidRPr="0098535B" w:rsidTr="00E66FBA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70197F" w:rsidRDefault="005F7068" w:rsidP="00E66FBA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F7068" w:rsidRPr="0098535B" w:rsidTr="00E66FBA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7068" w:rsidRPr="000E2AF2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 hodnotu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5F7068" w:rsidRPr="00DA3D09" w:rsidRDefault="005F7068" w:rsidP="00E66FBA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</w:t>
            </w:r>
            <w:r>
              <w:rPr>
                <w:sz w:val="20"/>
                <w:szCs w:val="20"/>
              </w:rPr>
              <w:t>u</w:t>
            </w:r>
          </w:p>
        </w:tc>
      </w:tr>
    </w:tbl>
    <w:p w:rsidR="005F7068" w:rsidRDefault="005F7068" w:rsidP="005F7068">
      <w:pPr>
        <w:tabs>
          <w:tab w:val="left" w:pos="4069"/>
          <w:tab w:val="center" w:pos="4536"/>
        </w:tabs>
        <w:spacing w:after="0"/>
        <w:rPr>
          <w:b/>
        </w:rPr>
      </w:pPr>
    </w:p>
    <w:p w:rsidR="005F7068" w:rsidRDefault="005F7068" w:rsidP="005F7068">
      <w:pPr>
        <w:rPr>
          <w:b/>
        </w:rPr>
      </w:pPr>
      <w:r>
        <w:rPr>
          <w:b/>
        </w:rPr>
        <w:br w:type="page"/>
      </w:r>
    </w:p>
    <w:p w:rsidR="005F7068" w:rsidRPr="00194C06" w:rsidRDefault="005F7068" w:rsidP="005F7068">
      <w:pPr>
        <w:tabs>
          <w:tab w:val="left" w:pos="4069"/>
          <w:tab w:val="center" w:pos="4536"/>
        </w:tabs>
        <w:spacing w:after="0"/>
        <w:rPr>
          <w:b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F7068" w:rsidRPr="0098535B" w:rsidTr="00E66FBA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8535B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F7068" w:rsidRPr="0098535B" w:rsidTr="00E66FBA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F7068" w:rsidRPr="0098535B" w:rsidTr="00E66FBA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068" w:rsidRPr="00194C06" w:rsidRDefault="005F7068" w:rsidP="00E66FBA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B53BE6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Počet domácností se sníženou spotřebou energie bez zlepšení klasifikace spotřeby energie</w:t>
            </w:r>
          </w:p>
        </w:tc>
      </w:tr>
      <w:tr w:rsidR="005F7068" w:rsidRPr="0098535B" w:rsidTr="00E66FBA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F7068" w:rsidRPr="0098535B" w:rsidTr="00E66FBA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53BE6">
              <w:rPr>
                <w:b/>
                <w:bCs/>
                <w:color w:val="000000"/>
              </w:rPr>
              <w:t>3 24 02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B53BE6">
              <w:rPr>
                <w:b/>
                <w:bCs/>
                <w:color w:val="000000"/>
              </w:rPr>
              <w:t>Domácnosti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(přidružený)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F7068" w:rsidRPr="0098535B" w:rsidTr="00E66FBA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F7068" w:rsidRPr="0098535B" w:rsidTr="00E66FBA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068" w:rsidRPr="00B276E4" w:rsidRDefault="005F7068" w:rsidP="00E66FB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B53BE6">
              <w:rPr>
                <w:sz w:val="20"/>
                <w:szCs w:val="20"/>
              </w:rPr>
              <w:t>Jedná se o snížení spotřeby domácnosti bez posunu v rámc</w:t>
            </w:r>
            <w:r>
              <w:rPr>
                <w:sz w:val="20"/>
                <w:szCs w:val="20"/>
              </w:rPr>
              <w:t>i klasifikace spotřeby energie.</w:t>
            </w:r>
          </w:p>
        </w:tc>
      </w:tr>
      <w:tr w:rsidR="005F7068" w:rsidRPr="0098535B" w:rsidTr="00E66FBA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Specifický</w:t>
            </w:r>
            <w:r w:rsidRPr="002944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>cíl (SC)</w:t>
            </w:r>
          </w:p>
        </w:tc>
      </w:tr>
      <w:tr w:rsidR="005F7068" w:rsidRPr="0098535B" w:rsidTr="00E66FBA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</w:rPr>
              <w:t xml:space="preserve">2 </w:t>
            </w:r>
            <w:r w:rsidRPr="00CD318D">
              <w:rPr>
                <w:sz w:val="20"/>
                <w:szCs w:val="20"/>
              </w:rPr>
              <w:t xml:space="preserve">- </w:t>
            </w:r>
            <w:r w:rsidRPr="006B2D24">
              <w:rPr>
                <w:sz w:val="20"/>
                <w:szCs w:val="20"/>
              </w:rPr>
              <w:t>Zkvalitnění veřejných služeb a podmínek života pro obyvatele regionů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2.5 </w:t>
            </w:r>
            <w:r>
              <w:rPr>
                <w:color w:val="000000"/>
              </w:rPr>
              <w:t>-</w:t>
            </w:r>
            <w:r w:rsidRPr="00294487">
              <w:rPr>
                <w:color w:val="000000"/>
              </w:rPr>
              <w:t xml:space="preserve"> </w:t>
            </w:r>
            <w:r w:rsidRPr="00D2776C">
              <w:rPr>
                <w:sz w:val="20"/>
                <w:szCs w:val="20"/>
              </w:rPr>
              <w:t>Snížení energetické náročnosti v sektoru bydlení</w:t>
            </w:r>
          </w:p>
        </w:tc>
      </w:tr>
      <w:tr w:rsidR="005F7068" w:rsidRPr="0098535B" w:rsidTr="00E66FBA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F7068" w:rsidRPr="0098535B" w:rsidTr="00E66FBA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5F7068" w:rsidRPr="0098535B" w:rsidTr="00E66FBA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F7068" w:rsidRPr="0098535B" w:rsidTr="00E66FBA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F7068" w:rsidRPr="003F2F6E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Indikátor je povinný k výběru a naplnění u projektů, jejichž součástí jsou bytové jednotky, u kterých dojde ke snížení spotřeby energie, ale prostřednictvím realizace podporovaných opatření nedosáhnou lepšího klasifikačního stupně podle protokolů průkazů energetické náročnosti budov (není rozdíl mezi klasifikační třídou bytového domu před realizací a klasifikační třídou bytového domu po realizaci).</w:t>
            </w:r>
          </w:p>
          <w:p w:rsidR="005F7068" w:rsidRPr="00764007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hodnota:</w:t>
            </w:r>
            <w:r w:rsidRPr="009D35EF">
              <w:rPr>
                <w:b/>
                <w:sz w:val="20"/>
                <w:szCs w:val="20"/>
              </w:rPr>
              <w:t xml:space="preserve"> </w:t>
            </w:r>
            <w:r w:rsidRPr="00F441E1">
              <w:rPr>
                <w:sz w:val="20"/>
                <w:szCs w:val="20"/>
              </w:rPr>
              <w:t>Plánovaný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celkový počet domácností (bytových jednotek) v bytovém domě, který prostřednictvím realizace podporovaných opatření nedosáhne lepšího klasifikačního stupně podle protokolů průkazů energetické náročnosti budov (není rozdíl mezi klasifikační třídou bytového domu před realizací a klasifikační třídou bytového domu po realizaci).</w:t>
            </w:r>
          </w:p>
          <w:p w:rsidR="005F7068" w:rsidRPr="00764007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Dosažená hodnota:</w:t>
            </w:r>
            <w:r w:rsidRPr="002D68FC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Skutečný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celkový počet domácností (bytových jednotek) v bytovém domě, který prostřednictvím realizace podporovaných opatření nedosáhne lepšího klasifikačního stupně podle protokolů průkazů energetické náročnosti budov (není rozdíl mezi klasifikační třídou bytového domu před realizací a klasifikační třídou bytového domu po realizaci).</w:t>
            </w:r>
          </w:p>
          <w:p w:rsidR="005F7068" w:rsidRPr="00764007" w:rsidRDefault="005F7068" w:rsidP="00E66FBA">
            <w:pPr>
              <w:pStyle w:val="text"/>
              <w:spacing w:before="120" w:after="0" w:line="276" w:lineRule="auto"/>
              <w:ind w:left="170" w:right="170"/>
              <w:rPr>
                <w:b/>
                <w:sz w:val="20"/>
                <w:szCs w:val="20"/>
              </w:rPr>
            </w:pPr>
            <w:r w:rsidRPr="00D82F42">
              <w:rPr>
                <w:b/>
                <w:sz w:val="20"/>
                <w:szCs w:val="20"/>
              </w:rPr>
              <w:t>Tolerance</w:t>
            </w:r>
            <w:r>
              <w:rPr>
                <w:b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Cílovou hodnotu je nutné naplnit nebo překročit.</w:t>
            </w:r>
            <w:r w:rsidRPr="00C04DBD">
              <w:rPr>
                <w:color w:val="FF0000"/>
              </w:rPr>
              <w:t xml:space="preserve"> </w:t>
            </w:r>
            <w:r>
              <w:rPr>
                <w:sz w:val="20"/>
                <w:szCs w:val="20"/>
              </w:rPr>
              <w:t>Pokud se během realizace projektu objeví skutečnosti, které vedou k nenaplnění či přeplnění cílové hodnoty indikátoru, je nutné s 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 xml:space="preserve"> pro žadatele,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cílové hodnoty sankcionováno.</w:t>
            </w:r>
          </w:p>
          <w:p w:rsidR="005F7068" w:rsidRPr="00B276E4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</w:t>
            </w:r>
            <w:r>
              <w:rPr>
                <w:sz w:val="20"/>
                <w:szCs w:val="20"/>
              </w:rPr>
              <w:t xml:space="preserve">nění cílové hodnoty indikátoru, </w:t>
            </w:r>
            <w:r w:rsidRPr="00BB1C6F">
              <w:rPr>
                <w:sz w:val="20"/>
                <w:szCs w:val="20"/>
              </w:rPr>
              <w:t>je stanovena v Podmínkách rozhodnutí o poskytnutí dotace.</w:t>
            </w:r>
          </w:p>
        </w:tc>
      </w:tr>
      <w:tr w:rsidR="005F7068" w:rsidRPr="0098535B" w:rsidTr="00E66FBA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70197F" w:rsidRDefault="005F7068" w:rsidP="00E66FBA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Výpočet hodnoty indikátoru na úrovni projektu</w:t>
            </w:r>
          </w:p>
        </w:tc>
      </w:tr>
      <w:tr w:rsidR="005F7068" w:rsidRPr="0098535B" w:rsidTr="00E66FBA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7068" w:rsidRPr="000E2AF2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Výchozí a cílovou</w:t>
            </w:r>
            <w:r w:rsidRPr="000E2AF2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hodnotu, stanovenou</w:t>
            </w:r>
            <w:r w:rsidRPr="000E2AF2">
              <w:rPr>
                <w:color w:val="000000"/>
                <w:sz w:val="20"/>
                <w:szCs w:val="20"/>
              </w:rPr>
              <w:t xml:space="preserve">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 hodnotu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5F7068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5F7068" w:rsidRPr="00DA3D09" w:rsidRDefault="005F7068" w:rsidP="00E66FBA">
            <w:pPr>
              <w:spacing w:before="120" w:after="120"/>
              <w:ind w:left="170" w:right="170"/>
              <w:rPr>
                <w:color w:val="00000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</w:tc>
      </w:tr>
    </w:tbl>
    <w:p w:rsidR="005F7068" w:rsidRPr="00680AC7" w:rsidRDefault="005F7068" w:rsidP="005F7068">
      <w:r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F7068" w:rsidRPr="0098535B" w:rsidTr="00E66FBA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8535B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F7068" w:rsidRPr="0098535B" w:rsidTr="00E66FBA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F7068" w:rsidRPr="0098535B" w:rsidTr="00E66FBA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068" w:rsidRPr="00194C06" w:rsidRDefault="005F7068" w:rsidP="00E66FBA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B53BE6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Výroba tepla z obnovitelných zdrojů</w:t>
            </w:r>
          </w:p>
        </w:tc>
      </w:tr>
      <w:tr w:rsidR="005F7068" w:rsidRPr="0098535B" w:rsidTr="00E66FBA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F7068" w:rsidRPr="0098535B" w:rsidTr="00E66FBA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B53BE6">
              <w:rPr>
                <w:b/>
                <w:bCs/>
                <w:color w:val="000000"/>
              </w:rPr>
              <w:t>3 48 00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B53BE6">
              <w:rPr>
                <w:b/>
                <w:bCs/>
                <w:color w:val="000000"/>
              </w:rPr>
              <w:t>GJ/rok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Ano/Ne</w:t>
            </w:r>
          </w:p>
        </w:tc>
      </w:tr>
      <w:tr w:rsidR="005F7068" w:rsidRPr="0098535B" w:rsidTr="00E66FBA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F7068" w:rsidRPr="0098535B" w:rsidTr="00E66FBA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068" w:rsidRPr="00B276E4" w:rsidRDefault="005F7068" w:rsidP="00E66FB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0B7FC7">
              <w:rPr>
                <w:sz w:val="20"/>
                <w:szCs w:val="20"/>
              </w:rPr>
              <w:t>Výroba tepla v GJ za rok celkem, Výroba tepla netto (pouze aktivita OZE). Výroba tepla zmenšená o vlastní spotřebu na výrobu tepla. Hodnota ukazatele je vždy uváděna za 1 rok, nejedná se o přírůstkový ukazatel. Ukazatel je vykazován nejdříve v závěrečné zprávě.</w:t>
            </w:r>
          </w:p>
        </w:tc>
      </w:tr>
      <w:tr w:rsidR="005F7068" w:rsidRPr="0098535B" w:rsidTr="00E66FBA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Specifický</w:t>
            </w:r>
            <w:r w:rsidRPr="002944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>cíl (SC)</w:t>
            </w:r>
          </w:p>
        </w:tc>
      </w:tr>
      <w:tr w:rsidR="005F7068" w:rsidRPr="0098535B" w:rsidTr="00E66FBA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</w:rPr>
              <w:t xml:space="preserve">2 </w:t>
            </w:r>
            <w:r w:rsidRPr="00CD318D">
              <w:rPr>
                <w:sz w:val="20"/>
                <w:szCs w:val="20"/>
              </w:rPr>
              <w:t xml:space="preserve">- </w:t>
            </w:r>
            <w:r w:rsidRPr="006B2D24">
              <w:rPr>
                <w:sz w:val="20"/>
                <w:szCs w:val="20"/>
              </w:rPr>
              <w:t>Zkvalitnění veřejných služeb a podmínek života pro obyvatele regionů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2.5 </w:t>
            </w:r>
            <w:r>
              <w:rPr>
                <w:color w:val="000000"/>
              </w:rPr>
              <w:t>-</w:t>
            </w:r>
            <w:r w:rsidRPr="00294487">
              <w:rPr>
                <w:color w:val="000000"/>
              </w:rPr>
              <w:t xml:space="preserve"> </w:t>
            </w:r>
            <w:r w:rsidRPr="00D2776C">
              <w:rPr>
                <w:sz w:val="20"/>
                <w:szCs w:val="20"/>
              </w:rPr>
              <w:t>Snížení energetické náročnosti v sektoru bydlení</w:t>
            </w:r>
          </w:p>
        </w:tc>
      </w:tr>
      <w:tr w:rsidR="005F7068" w:rsidRPr="0098535B" w:rsidTr="00E66FBA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F7068" w:rsidRPr="0098535B" w:rsidTr="00E66FBA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5F7068" w:rsidRPr="0098535B" w:rsidTr="00E66FBA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F7068" w:rsidRPr="0098535B" w:rsidTr="00E66FBA">
        <w:trPr>
          <w:trHeight w:val="411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F7068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Indikátor je povinný k výběru a k naplnění u projektů, jejichž součástí je některé z následujících opatření:</w:t>
            </w:r>
          </w:p>
          <w:p w:rsidR="005F7068" w:rsidRDefault="005F7068" w:rsidP="00E66FBA">
            <w:pPr>
              <w:pStyle w:val="text"/>
              <w:numPr>
                <w:ilvl w:val="0"/>
                <w:numId w:val="2"/>
              </w:numPr>
              <w:spacing w:before="120" w:after="120"/>
              <w:ind w:left="512" w:right="170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kotel na biomasu</w:t>
            </w:r>
          </w:p>
          <w:p w:rsidR="005F7068" w:rsidRDefault="005F7068" w:rsidP="00E66FBA">
            <w:pPr>
              <w:pStyle w:val="text"/>
              <w:numPr>
                <w:ilvl w:val="0"/>
                <w:numId w:val="2"/>
              </w:numPr>
              <w:spacing w:before="120" w:after="120"/>
              <w:ind w:left="512" w:right="170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tepelné čerpadlo</w:t>
            </w:r>
          </w:p>
          <w:p w:rsidR="005F7068" w:rsidRDefault="005F7068" w:rsidP="00E66FBA">
            <w:pPr>
              <w:pStyle w:val="text"/>
              <w:numPr>
                <w:ilvl w:val="0"/>
                <w:numId w:val="2"/>
              </w:numPr>
              <w:spacing w:before="120" w:after="120"/>
              <w:ind w:left="512" w:right="170" w:hanging="1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solární termické kolektor</w:t>
            </w:r>
          </w:p>
          <w:p w:rsidR="005F7068" w:rsidRPr="00146F70" w:rsidRDefault="005F7068" w:rsidP="00E66FBA">
            <w:pPr>
              <w:pStyle w:val="text"/>
              <w:numPr>
                <w:ilvl w:val="0"/>
                <w:numId w:val="2"/>
              </w:numPr>
              <w:spacing w:before="120" w:after="120"/>
              <w:ind w:left="512" w:right="170" w:hanging="152"/>
              <w:rPr>
                <w:sz w:val="20"/>
                <w:szCs w:val="20"/>
              </w:rPr>
            </w:pPr>
            <w:r w:rsidRPr="00146F70">
              <w:rPr>
                <w:sz w:val="20"/>
                <w:szCs w:val="20"/>
              </w:rPr>
              <w:t>jednotka pro kombinovanou výrobu elektřiny a tepla (pokud je palivem biomasa)</w:t>
            </w:r>
          </w:p>
          <w:p w:rsidR="005F7068" w:rsidRPr="003F2F6E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FD36E0">
              <w:rPr>
                <w:sz w:val="20"/>
                <w:szCs w:val="20"/>
              </w:rPr>
              <w:t>Žadatel vykazuje všechny hodnoty na základě výpočtů z dat uvedených v průkazu energetické náročnosti (stav jde o rozdíl hodnot v PENB, který zachybuje stav před projektem a PENB, který dokumentuje stav po realizaci projektu).</w:t>
            </w:r>
          </w:p>
          <w:p w:rsidR="005F7068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9D35EF">
              <w:rPr>
                <w:b/>
                <w:sz w:val="20"/>
                <w:szCs w:val="20"/>
                <w:u w:val="single"/>
              </w:rPr>
              <w:t>hodnota: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8547C">
              <w:rPr>
                <w:sz w:val="20"/>
                <w:szCs w:val="20"/>
              </w:rPr>
              <w:t>plánované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množství vyrobeného tepla z výše uvedených obnovitelných zdrojů</w:t>
            </w:r>
            <w:r>
              <w:rPr>
                <w:b/>
                <w:sz w:val="20"/>
                <w:szCs w:val="20"/>
              </w:rPr>
              <w:t>,</w:t>
            </w:r>
            <w:r w:rsidRPr="003F2F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za kalendářní </w:t>
            </w:r>
            <w:r w:rsidRPr="003F2F6E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ok, který</w:t>
            </w:r>
            <w:r w:rsidRPr="003F2F6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následuje</w:t>
            </w:r>
            <w:r w:rsidRPr="008B3FEE">
              <w:rPr>
                <w:sz w:val="20"/>
                <w:szCs w:val="20"/>
              </w:rPr>
              <w:t xml:space="preserve"> po ro</w:t>
            </w:r>
            <w:r>
              <w:rPr>
                <w:sz w:val="20"/>
                <w:szCs w:val="20"/>
              </w:rPr>
              <w:t>ce, ve kterém byla</w:t>
            </w:r>
            <w:r w:rsidRPr="003F2F6E">
              <w:rPr>
                <w:sz w:val="20"/>
                <w:szCs w:val="20"/>
              </w:rPr>
              <w:t xml:space="preserve"> realizace projektu</w:t>
            </w:r>
            <w:r>
              <w:rPr>
                <w:sz w:val="20"/>
                <w:szCs w:val="20"/>
              </w:rPr>
              <w:t xml:space="preserve"> ukončena</w:t>
            </w:r>
            <w:r w:rsidRPr="003F2F6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Tato hodnota je stanovena na základě výpočtu z údajů uvedených v průkazu energetické náročnosti budov. </w:t>
            </w:r>
            <w:r w:rsidRPr="0078120F">
              <w:rPr>
                <w:sz w:val="20"/>
                <w:szCs w:val="20"/>
              </w:rPr>
              <w:t xml:space="preserve">Za každý projekt je vykázána pouze jedna jednorázová hodnota, které je následně pouze dále přenášena (vykazována), a která vyjadřuje </w:t>
            </w:r>
            <w:r>
              <w:rPr>
                <w:sz w:val="20"/>
                <w:szCs w:val="20"/>
              </w:rPr>
              <w:t>jednorázové</w:t>
            </w:r>
            <w:r w:rsidRPr="007812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zvýšení výroby tepla z OZE v důsledku projektu.</w:t>
            </w:r>
          </w:p>
          <w:p w:rsidR="005F7068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Dosažená hodnota:</w:t>
            </w:r>
            <w:r w:rsidRPr="00FF2189">
              <w:rPr>
                <w:b/>
                <w:sz w:val="20"/>
                <w:szCs w:val="20"/>
              </w:rPr>
              <w:t xml:space="preserve"> </w:t>
            </w:r>
            <w:r w:rsidRPr="0038547C">
              <w:rPr>
                <w:sz w:val="20"/>
                <w:szCs w:val="20"/>
              </w:rPr>
              <w:t xml:space="preserve">vypočtené </w:t>
            </w:r>
            <w:r>
              <w:rPr>
                <w:sz w:val="20"/>
                <w:szCs w:val="20"/>
              </w:rPr>
              <w:t>množství vyrobeného tepla z výše uvedený obnovitelných zdrojů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64007">
              <w:rPr>
                <w:sz w:val="20"/>
                <w:szCs w:val="20"/>
              </w:rPr>
              <w:t>za</w:t>
            </w:r>
            <w:r>
              <w:rPr>
                <w:sz w:val="20"/>
                <w:szCs w:val="20"/>
              </w:rPr>
              <w:t xml:space="preserve"> kalendářní </w:t>
            </w:r>
            <w:r w:rsidRPr="0076400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ok, který</w:t>
            </w:r>
            <w:r w:rsidRPr="007640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následuje</w:t>
            </w:r>
            <w:r w:rsidRPr="008B3FEE">
              <w:rPr>
                <w:sz w:val="20"/>
                <w:szCs w:val="20"/>
              </w:rPr>
              <w:t xml:space="preserve"> po ro</w:t>
            </w:r>
            <w:r>
              <w:rPr>
                <w:sz w:val="20"/>
                <w:szCs w:val="20"/>
              </w:rPr>
              <w:t>ce, ve kterém byla</w:t>
            </w:r>
            <w:r w:rsidRPr="00764007">
              <w:rPr>
                <w:sz w:val="20"/>
                <w:szCs w:val="20"/>
              </w:rPr>
              <w:t xml:space="preserve"> realizace projektu</w:t>
            </w:r>
            <w:r>
              <w:rPr>
                <w:sz w:val="20"/>
                <w:szCs w:val="20"/>
              </w:rPr>
              <w:t xml:space="preserve"> ukončena</w:t>
            </w:r>
            <w:r w:rsidRPr="007640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Tato hodnota je stanovena na základě výpočtu z údajů uvedených v průkazech energetické náročnosti budov. Žadatel hodnotu vykazuje k datu ukončení realizace projektu.</w:t>
            </w:r>
          </w:p>
          <w:p w:rsidR="005F7068" w:rsidRDefault="005F7068" w:rsidP="00E66FBA">
            <w:pPr>
              <w:pStyle w:val="text"/>
              <w:spacing w:before="120" w:after="0" w:line="276" w:lineRule="auto"/>
              <w:ind w:left="170" w:right="170"/>
              <w:rPr>
                <w:b/>
                <w:sz w:val="20"/>
                <w:szCs w:val="20"/>
              </w:rPr>
            </w:pPr>
            <w:r w:rsidRPr="00D82F42">
              <w:rPr>
                <w:b/>
                <w:sz w:val="20"/>
                <w:szCs w:val="20"/>
              </w:rPr>
              <w:t>Tolerance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8733D9">
              <w:rPr>
                <w:sz w:val="20"/>
                <w:szCs w:val="20"/>
              </w:rPr>
              <w:t xml:space="preserve">žádná, </w:t>
            </w:r>
            <w:r>
              <w:rPr>
                <w:sz w:val="20"/>
                <w:szCs w:val="20"/>
              </w:rPr>
              <w:t>výpočty vychází z</w:t>
            </w:r>
            <w:r w:rsidRPr="008733D9">
              <w:rPr>
                <w:sz w:val="20"/>
                <w:szCs w:val="20"/>
              </w:rPr>
              <w:t xml:space="preserve"> údajů obsažen</w:t>
            </w:r>
            <w:r>
              <w:rPr>
                <w:sz w:val="20"/>
                <w:szCs w:val="20"/>
              </w:rPr>
              <w:t>ých</w:t>
            </w:r>
            <w:r w:rsidRPr="008733D9">
              <w:rPr>
                <w:sz w:val="20"/>
                <w:szCs w:val="20"/>
              </w:rPr>
              <w:t xml:space="preserve"> v PENB, </w:t>
            </w:r>
            <w:r>
              <w:rPr>
                <w:sz w:val="20"/>
                <w:szCs w:val="20"/>
              </w:rPr>
              <w:t>proto se cílová a dosažená hodnota musí vždy rovnat.</w:t>
            </w:r>
          </w:p>
          <w:p w:rsidR="005F7068" w:rsidRPr="00B276E4" w:rsidRDefault="005F7068" w:rsidP="00E66FBA">
            <w:pPr>
              <w:pStyle w:val="text"/>
              <w:spacing w:before="120" w:after="0" w:line="276" w:lineRule="auto"/>
              <w:ind w:left="170" w:right="170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lastRenderedPageBreak/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</w:t>
            </w:r>
            <w:r>
              <w:rPr>
                <w:sz w:val="20"/>
                <w:szCs w:val="20"/>
              </w:rPr>
              <w:t xml:space="preserve">nění cílové hodnoty indikátoru, </w:t>
            </w:r>
            <w:r w:rsidRPr="00BB1C6F">
              <w:rPr>
                <w:sz w:val="20"/>
                <w:szCs w:val="20"/>
              </w:rPr>
              <w:t>je stanovena v Podmínkách rozhodnutí o poskytnutí dotace.</w:t>
            </w:r>
          </w:p>
        </w:tc>
      </w:tr>
      <w:tr w:rsidR="005F7068" w:rsidRPr="0098535B" w:rsidTr="00E66FBA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70197F" w:rsidRDefault="005F7068" w:rsidP="00E66FBA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F7068" w:rsidRPr="0098535B" w:rsidTr="00E66FBA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7068" w:rsidRPr="000E2AF2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 hodnotu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5F7068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:rsidR="005F7068" w:rsidRPr="00B276E4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B276E4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:rsidR="005F7068" w:rsidRPr="00A553E8" w:rsidRDefault="005F7068" w:rsidP="00E66FBA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Výsledná hodnota se získá součtem hodnot vyrobeného tepla jednotlivými technologiemi využívajícími obnovitelné zdroje energie pro výrobu tepla (pouze OZE realizované v rámci projektu). Sčítají se hodnoty jednotlivých obnovitelných zdrojů dílčí dodané energie uvedené v energetickém hodnocení (PENB) v tabulce dílčí dodané energie. </w:t>
            </w:r>
            <w:r w:rsidRPr="00A553E8">
              <w:rPr>
                <w:b/>
                <w:sz w:val="20"/>
                <w:szCs w:val="20"/>
              </w:rPr>
              <w:t>ŘO doporučuje, aby byl výpočet proveden energetickým specialistou, jež je držitelem příslušného oprávnění dle § 10, odst. 1, zákona 406/2000 Sb., o hospodaření energií, v platném znění.</w:t>
            </w:r>
          </w:p>
          <w:p w:rsidR="005F7068" w:rsidRPr="002D68FC" w:rsidRDefault="005F7068" w:rsidP="00E66FB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3F2F6E">
              <w:rPr>
                <w:b/>
                <w:color w:val="000000"/>
                <w:sz w:val="20"/>
                <w:szCs w:val="20"/>
              </w:rPr>
              <w:t xml:space="preserve">Převodní vztah mezi </w:t>
            </w:r>
            <w:r>
              <w:rPr>
                <w:b/>
                <w:color w:val="000000"/>
                <w:sz w:val="20"/>
                <w:szCs w:val="20"/>
              </w:rPr>
              <w:t>k</w:t>
            </w:r>
            <w:r w:rsidRPr="003F2F6E">
              <w:rPr>
                <w:b/>
                <w:color w:val="000000"/>
                <w:sz w:val="20"/>
                <w:szCs w:val="20"/>
              </w:rPr>
              <w:t>Wh</w:t>
            </w:r>
            <w:r>
              <w:rPr>
                <w:b/>
                <w:color w:val="000000"/>
                <w:sz w:val="20"/>
                <w:szCs w:val="20"/>
              </w:rPr>
              <w:t xml:space="preserve"> a GJ: 1000 k</w:t>
            </w:r>
            <w:r w:rsidRPr="003F2F6E">
              <w:rPr>
                <w:b/>
                <w:color w:val="000000"/>
                <w:sz w:val="20"/>
                <w:szCs w:val="20"/>
              </w:rPr>
              <w:t>Wh odpovídá 3,6 GJ.</w:t>
            </w:r>
          </w:p>
        </w:tc>
      </w:tr>
    </w:tbl>
    <w:p w:rsidR="005F7068" w:rsidRPr="00680AC7" w:rsidRDefault="005F7068" w:rsidP="005F7068">
      <w:r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F7068" w:rsidRPr="0098535B" w:rsidTr="00E66FBA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8535B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F7068" w:rsidRPr="0098535B" w:rsidTr="00E66FBA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F7068" w:rsidRPr="0098535B" w:rsidTr="00E66FBA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068" w:rsidRPr="00194C06" w:rsidRDefault="005F7068" w:rsidP="00E66FBA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0B7FC7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Snížení konečné spotřeby energie u podpořených subjektů</w:t>
            </w:r>
          </w:p>
        </w:tc>
      </w:tr>
      <w:tr w:rsidR="005F7068" w:rsidRPr="0098535B" w:rsidTr="00E66FBA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F7068" w:rsidRPr="0098535B" w:rsidTr="00E66FBA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0B7FC7">
              <w:rPr>
                <w:b/>
                <w:bCs/>
                <w:color w:val="000000"/>
              </w:rPr>
              <w:t>3 23 00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>
              <w:rPr>
                <w:b/>
                <w:bCs/>
                <w:color w:val="000000"/>
              </w:rPr>
              <w:t>GJ/rok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F7068" w:rsidRPr="0098535B" w:rsidTr="00E66FBA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F7068" w:rsidRPr="0098535B" w:rsidTr="00E66FBA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068" w:rsidRPr="00B276E4" w:rsidRDefault="005F7068" w:rsidP="00E66FB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16C8B">
              <w:rPr>
                <w:sz w:val="20"/>
                <w:szCs w:val="20"/>
              </w:rPr>
              <w:t>Úsporami na konečné spotřebě energie se rozumí množství ušetřené energie na konečné spotřebě energie určené měřením nebo odhadem spotřeby před provedením jednoho či více opatření ke zvýšení energetické účinnosti a po něm, při zajištění normalizace vnějších podmínek, které spotřebu energie ovlivňují s tím, že konečná spotřeba energie je spotřeba paliv a energie, zjištěná před vstupem do spotřebičů, ve kterých se využije pro finální užitný efekt, n</w:t>
            </w:r>
            <w:r>
              <w:rPr>
                <w:sz w:val="20"/>
                <w:szCs w:val="20"/>
              </w:rPr>
              <w:t xml:space="preserve">ikoliv pro výrobu jiné energie </w:t>
            </w:r>
            <w:r w:rsidRPr="00716C8B">
              <w:rPr>
                <w:sz w:val="20"/>
                <w:szCs w:val="20"/>
              </w:rPr>
              <w:t xml:space="preserve">(s výjimkou druhotných energetických zdrojů). </w:t>
            </w:r>
          </w:p>
        </w:tc>
      </w:tr>
      <w:tr w:rsidR="005F7068" w:rsidRPr="0098535B" w:rsidTr="00E66FBA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Specifický</w:t>
            </w:r>
            <w:r w:rsidRPr="002944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>cíl (SC)</w:t>
            </w:r>
          </w:p>
        </w:tc>
      </w:tr>
      <w:tr w:rsidR="005F7068" w:rsidRPr="0098535B" w:rsidTr="00E66FBA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</w:rPr>
              <w:t xml:space="preserve">2 </w:t>
            </w:r>
            <w:r w:rsidRPr="00CD318D">
              <w:rPr>
                <w:sz w:val="20"/>
                <w:szCs w:val="20"/>
              </w:rPr>
              <w:t xml:space="preserve">- </w:t>
            </w:r>
            <w:r w:rsidRPr="006B2D24">
              <w:rPr>
                <w:sz w:val="20"/>
                <w:szCs w:val="20"/>
              </w:rPr>
              <w:t>Zkvalitnění veřejných služeb a podmínek života pro obyvatele regionů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2.5 </w:t>
            </w:r>
            <w:r>
              <w:rPr>
                <w:color w:val="000000"/>
              </w:rPr>
              <w:t>-</w:t>
            </w:r>
            <w:r w:rsidRPr="00294487">
              <w:rPr>
                <w:color w:val="000000"/>
              </w:rPr>
              <w:t xml:space="preserve"> </w:t>
            </w:r>
            <w:r w:rsidRPr="00D2776C">
              <w:rPr>
                <w:sz w:val="20"/>
                <w:szCs w:val="20"/>
              </w:rPr>
              <w:t>Snížení energetické náročnosti v sektoru bydlení</w:t>
            </w:r>
          </w:p>
        </w:tc>
      </w:tr>
      <w:tr w:rsidR="005F7068" w:rsidRPr="0098535B" w:rsidTr="00E66FBA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F7068" w:rsidRPr="0098535B" w:rsidTr="00E66FBA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Určená žadatelem</w:t>
            </w:r>
          </w:p>
        </w:tc>
      </w:tr>
      <w:tr w:rsidR="005F7068" w:rsidRPr="0098535B" w:rsidTr="00E66FBA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F7068" w:rsidRPr="0098535B" w:rsidTr="00E66FBA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F7068" w:rsidRPr="00E37A60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2D68FC">
              <w:rPr>
                <w:sz w:val="20"/>
                <w:szCs w:val="20"/>
              </w:rPr>
              <w:t xml:space="preserve">Indikátor je povinný k výběru a k naplnění pro všechny projekty výzvy. </w:t>
            </w:r>
            <w:r w:rsidRPr="00FD36E0">
              <w:rPr>
                <w:sz w:val="20"/>
                <w:szCs w:val="20"/>
              </w:rPr>
              <w:t>Žadatel vykazuje všechny hodnoty na základě výpočtů z dat uvedených v průkazu energetické náročnosti (stav jde o rozdíl hodnot v PENB, který zachybuje stav před projektem a PENB, který dokumentuje stav po realizaci projektu).</w:t>
            </w:r>
          </w:p>
          <w:p w:rsidR="005F7068" w:rsidRDefault="005F7068" w:rsidP="00E66FBA">
            <w:pPr>
              <w:pStyle w:val="text"/>
              <w:spacing w:before="120" w:after="120"/>
              <w:ind w:left="170" w:right="170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716C8B">
              <w:rPr>
                <w:sz w:val="20"/>
                <w:szCs w:val="20"/>
              </w:rPr>
              <w:t xml:space="preserve">nožství </w:t>
            </w:r>
            <w:r>
              <w:rPr>
                <w:sz w:val="20"/>
                <w:szCs w:val="20"/>
              </w:rPr>
              <w:t>spotřebované</w:t>
            </w:r>
            <w:r w:rsidRPr="00716C8B">
              <w:rPr>
                <w:sz w:val="20"/>
                <w:szCs w:val="20"/>
              </w:rPr>
              <w:t xml:space="preserve"> energie určené </w:t>
            </w:r>
            <w:r>
              <w:rPr>
                <w:sz w:val="20"/>
                <w:szCs w:val="20"/>
              </w:rPr>
              <w:t xml:space="preserve">výpočtem na základě PENB za kalendářní rok, který předchází roku, ve kterém začala realizace projektu (tedy </w:t>
            </w:r>
            <w:r w:rsidRPr="00716C8B">
              <w:rPr>
                <w:sz w:val="20"/>
                <w:szCs w:val="20"/>
              </w:rPr>
              <w:t>před provedením jednoho či více opatření ke zvýšení energetické účinnosti</w:t>
            </w:r>
            <w:r>
              <w:rPr>
                <w:sz w:val="20"/>
                <w:szCs w:val="20"/>
              </w:rPr>
              <w:t xml:space="preserve">). Tato hodnota je stanovena na základě výpočtu z údajů uvedených v průkazu energetické náročnosti budov. </w:t>
            </w:r>
            <w:r w:rsidRPr="0078120F">
              <w:rPr>
                <w:sz w:val="20"/>
                <w:szCs w:val="20"/>
              </w:rPr>
              <w:t xml:space="preserve">Za každý projekt je vykázána pouze jedna jednorázová hodnota, které je následně pouze dále přenášena (vykazována), a která vyjadřuje průměrné roční (jednorázové) snížení </w:t>
            </w:r>
            <w:r>
              <w:rPr>
                <w:sz w:val="20"/>
                <w:szCs w:val="20"/>
              </w:rPr>
              <w:t>spotřeby energie v důsledku realizace projektu.</w:t>
            </w:r>
          </w:p>
          <w:p w:rsidR="005F7068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hodnota:</w:t>
            </w:r>
            <w:r w:rsidRPr="009D35E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Vypočtené plánované m</w:t>
            </w:r>
            <w:r w:rsidRPr="00716C8B">
              <w:rPr>
                <w:sz w:val="20"/>
                <w:szCs w:val="20"/>
              </w:rPr>
              <w:t xml:space="preserve">nožství </w:t>
            </w:r>
            <w:r>
              <w:rPr>
                <w:sz w:val="20"/>
                <w:szCs w:val="20"/>
              </w:rPr>
              <w:t>spotřebované</w:t>
            </w:r>
            <w:r w:rsidRPr="00716C8B">
              <w:rPr>
                <w:sz w:val="20"/>
                <w:szCs w:val="20"/>
              </w:rPr>
              <w:t xml:space="preserve"> energie </w:t>
            </w:r>
            <w:r>
              <w:rPr>
                <w:sz w:val="20"/>
                <w:szCs w:val="20"/>
              </w:rPr>
              <w:t>po provedení</w:t>
            </w:r>
            <w:r w:rsidRPr="00716C8B">
              <w:rPr>
                <w:sz w:val="20"/>
                <w:szCs w:val="20"/>
              </w:rPr>
              <w:t xml:space="preserve"> jednoho či více opatření ke zvýšení energetické účinnosti</w:t>
            </w:r>
            <w:r>
              <w:rPr>
                <w:sz w:val="20"/>
                <w:szCs w:val="20"/>
              </w:rPr>
              <w:t xml:space="preserve"> v kalendářním roce, který následuje po roce, ve kterém byla ukončena realizace projektu. Tato hodnota je stanovena na základě výpočtu z údajů uvedených v průkazech energetické náročnosti budov. </w:t>
            </w:r>
            <w:r w:rsidRPr="0078120F">
              <w:rPr>
                <w:sz w:val="20"/>
                <w:szCs w:val="20"/>
              </w:rPr>
              <w:t xml:space="preserve">Za každý projekt je vykázána pouze jedna jednorázová hodnota, které je následně pouze dále přenášena (vykazována), a která vyjadřuje průměrné roční (jednorázové) snížení </w:t>
            </w:r>
            <w:r>
              <w:rPr>
                <w:sz w:val="20"/>
                <w:szCs w:val="20"/>
              </w:rPr>
              <w:t>spotřeby energie v důsledku realizace projektu.</w:t>
            </w:r>
          </w:p>
          <w:p w:rsidR="005F7068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Dosažená hodnota: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>Vypočtené m</w:t>
            </w:r>
            <w:r w:rsidRPr="00716C8B">
              <w:rPr>
                <w:sz w:val="20"/>
                <w:szCs w:val="20"/>
              </w:rPr>
              <w:t xml:space="preserve">nožství </w:t>
            </w:r>
            <w:r>
              <w:rPr>
                <w:sz w:val="20"/>
                <w:szCs w:val="20"/>
              </w:rPr>
              <w:t>spotřebované</w:t>
            </w:r>
            <w:r w:rsidRPr="00716C8B">
              <w:rPr>
                <w:sz w:val="20"/>
                <w:szCs w:val="20"/>
              </w:rPr>
              <w:t xml:space="preserve"> energie </w:t>
            </w:r>
            <w:r>
              <w:rPr>
                <w:sz w:val="20"/>
                <w:szCs w:val="20"/>
              </w:rPr>
              <w:t>po provedení</w:t>
            </w:r>
            <w:r w:rsidRPr="00716C8B">
              <w:rPr>
                <w:sz w:val="20"/>
                <w:szCs w:val="20"/>
              </w:rPr>
              <w:t xml:space="preserve"> jednoho či více opatření ke zvýšení energetické účinnosti</w:t>
            </w:r>
            <w:r>
              <w:rPr>
                <w:sz w:val="20"/>
                <w:szCs w:val="20"/>
              </w:rPr>
              <w:t xml:space="preserve"> z</w:t>
            </w:r>
            <w:r w:rsidRPr="007640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 kalendářní </w:t>
            </w:r>
            <w:r w:rsidRPr="00764007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ok, který</w:t>
            </w:r>
            <w:r w:rsidRPr="007640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následuje</w:t>
            </w:r>
            <w:r w:rsidRPr="008B3FEE">
              <w:rPr>
                <w:sz w:val="20"/>
                <w:szCs w:val="20"/>
              </w:rPr>
              <w:t xml:space="preserve"> po ro</w:t>
            </w:r>
            <w:r>
              <w:rPr>
                <w:sz w:val="20"/>
                <w:szCs w:val="20"/>
              </w:rPr>
              <w:t>ce, ve kterém byla</w:t>
            </w:r>
            <w:r w:rsidRPr="00764007">
              <w:rPr>
                <w:sz w:val="20"/>
                <w:szCs w:val="20"/>
              </w:rPr>
              <w:t xml:space="preserve"> realizace projektu</w:t>
            </w:r>
            <w:r>
              <w:rPr>
                <w:sz w:val="20"/>
                <w:szCs w:val="20"/>
              </w:rPr>
              <w:t xml:space="preserve"> ukončena</w:t>
            </w:r>
            <w:r w:rsidRPr="0076400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Stejně jako cílová hodnota je dosažená hodnot stanovena na základě výpočtu z údajů uvedených </w:t>
            </w:r>
            <w:r>
              <w:rPr>
                <w:sz w:val="20"/>
                <w:szCs w:val="20"/>
              </w:rPr>
              <w:lastRenderedPageBreak/>
              <w:t xml:space="preserve">v průkazech energetické náročnosti budov. </w:t>
            </w:r>
            <w:r w:rsidRPr="0078120F">
              <w:rPr>
                <w:sz w:val="20"/>
                <w:szCs w:val="20"/>
              </w:rPr>
              <w:t xml:space="preserve">Za každý projekt je vykázána pouze jedna jednorázová hodnota, které je následně pouze dále přenášena (vykazována), a která vyjadřuje průměrné roční (jednorázové) snížení </w:t>
            </w:r>
            <w:r>
              <w:rPr>
                <w:sz w:val="20"/>
                <w:szCs w:val="20"/>
              </w:rPr>
              <w:t>spotřeby energie v důsledku realizace projektu. Žadatel hodnotu vykazuje k datu ukončení realizace projektu.</w:t>
            </w:r>
          </w:p>
          <w:p w:rsidR="005F7068" w:rsidRPr="00764007" w:rsidRDefault="005F7068" w:rsidP="00E66FBA">
            <w:pPr>
              <w:pStyle w:val="text"/>
              <w:spacing w:before="120" w:after="0" w:line="276" w:lineRule="auto"/>
              <w:ind w:left="170" w:right="170"/>
              <w:rPr>
                <w:b/>
                <w:sz w:val="20"/>
                <w:szCs w:val="20"/>
              </w:rPr>
            </w:pPr>
            <w:r w:rsidRPr="00D82F42">
              <w:rPr>
                <w:b/>
                <w:sz w:val="20"/>
                <w:szCs w:val="20"/>
              </w:rPr>
              <w:t>Tolerance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8733D9">
              <w:rPr>
                <w:sz w:val="20"/>
                <w:szCs w:val="20"/>
              </w:rPr>
              <w:t xml:space="preserve">žádná, </w:t>
            </w:r>
            <w:r>
              <w:rPr>
                <w:sz w:val="20"/>
                <w:szCs w:val="20"/>
              </w:rPr>
              <w:t>výpočty vychází z</w:t>
            </w:r>
            <w:r w:rsidRPr="008733D9">
              <w:rPr>
                <w:sz w:val="20"/>
                <w:szCs w:val="20"/>
              </w:rPr>
              <w:t xml:space="preserve"> údajů obsažen</w:t>
            </w:r>
            <w:r>
              <w:rPr>
                <w:sz w:val="20"/>
                <w:szCs w:val="20"/>
              </w:rPr>
              <w:t>ých</w:t>
            </w:r>
            <w:r w:rsidRPr="008733D9">
              <w:rPr>
                <w:sz w:val="20"/>
                <w:szCs w:val="20"/>
              </w:rPr>
              <w:t xml:space="preserve"> v PENB, </w:t>
            </w:r>
            <w:r>
              <w:rPr>
                <w:sz w:val="20"/>
                <w:szCs w:val="20"/>
              </w:rPr>
              <w:t>proto se cílová a dosažená hodnota musí vždy rovnat.</w:t>
            </w:r>
          </w:p>
          <w:p w:rsidR="005F7068" w:rsidRPr="00B276E4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</w:t>
            </w:r>
            <w:r>
              <w:rPr>
                <w:sz w:val="20"/>
                <w:szCs w:val="20"/>
              </w:rPr>
              <w:t xml:space="preserve">nění cílové hodnoty indikátoru, </w:t>
            </w:r>
            <w:r w:rsidRPr="00BB1C6F">
              <w:rPr>
                <w:sz w:val="20"/>
                <w:szCs w:val="20"/>
              </w:rPr>
              <w:t>je stanovena v Podmínkách rozhodnutí o poskytnutí dotace.</w:t>
            </w:r>
          </w:p>
        </w:tc>
      </w:tr>
      <w:tr w:rsidR="005F7068" w:rsidRPr="0098535B" w:rsidTr="00E66FBA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70197F" w:rsidRDefault="005F7068" w:rsidP="00E66FBA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F7068" w:rsidRPr="0098535B" w:rsidTr="00E66FBA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7068" w:rsidRPr="000E2AF2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 hodnotu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5F7068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:rsidR="005F7068" w:rsidRPr="00B276E4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B276E4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:rsidR="005F7068" w:rsidRPr="00A553E8" w:rsidRDefault="005F7068" w:rsidP="00E66FBA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Výsledná hodnota je stanovena </w:t>
            </w:r>
            <w:r w:rsidRPr="003F2F6E">
              <w:rPr>
                <w:color w:val="000000"/>
                <w:sz w:val="20"/>
                <w:szCs w:val="20"/>
                <w:u w:val="single"/>
              </w:rPr>
              <w:t>rozdílem</w:t>
            </w:r>
            <w:r>
              <w:rPr>
                <w:color w:val="000000"/>
                <w:sz w:val="20"/>
                <w:szCs w:val="20"/>
              </w:rPr>
              <w:t xml:space="preserve"> celkové dodané energie za jeden rok před realizací podpořených opatření a ve stejném období po realizaci podpořených opatření (podle hodnot uvedených v průkazu energetické náročnosti budov). </w:t>
            </w:r>
            <w:r w:rsidRPr="00A553E8">
              <w:rPr>
                <w:b/>
                <w:sz w:val="20"/>
                <w:szCs w:val="20"/>
              </w:rPr>
              <w:t>ŘO doporučuje, aby byl výpočet proveden energetickým specialistou, jež je držitelem příslušného oprávnění dle § 10, odst. 1, zákona 406/2000 Sb., o hospodaření energií, v platném znění.</w:t>
            </w:r>
          </w:p>
          <w:p w:rsidR="005F7068" w:rsidRPr="002E462D" w:rsidRDefault="005F7068" w:rsidP="00E66FBA">
            <w:pPr>
              <w:spacing w:before="120" w:after="120"/>
              <w:ind w:left="170" w:right="170"/>
              <w:rPr>
                <w:b/>
                <w:color w:val="000000"/>
                <w:sz w:val="20"/>
                <w:szCs w:val="20"/>
              </w:rPr>
            </w:pPr>
            <w:r w:rsidRPr="003F2F6E">
              <w:rPr>
                <w:b/>
                <w:color w:val="000000"/>
                <w:sz w:val="20"/>
                <w:szCs w:val="20"/>
              </w:rPr>
              <w:t xml:space="preserve">Převodní vztah mezi </w:t>
            </w:r>
            <w:r>
              <w:rPr>
                <w:b/>
                <w:color w:val="000000"/>
                <w:sz w:val="20"/>
                <w:szCs w:val="20"/>
              </w:rPr>
              <w:t>k</w:t>
            </w:r>
            <w:r w:rsidRPr="003F2F6E">
              <w:rPr>
                <w:b/>
                <w:color w:val="000000"/>
                <w:sz w:val="20"/>
                <w:szCs w:val="20"/>
              </w:rPr>
              <w:t>Wh</w:t>
            </w:r>
            <w:r>
              <w:rPr>
                <w:b/>
                <w:color w:val="000000"/>
                <w:sz w:val="20"/>
                <w:szCs w:val="20"/>
              </w:rPr>
              <w:t xml:space="preserve"> a GJ: 1000 k</w:t>
            </w:r>
            <w:r w:rsidRPr="003F2F6E">
              <w:rPr>
                <w:b/>
                <w:color w:val="000000"/>
                <w:sz w:val="20"/>
                <w:szCs w:val="20"/>
              </w:rPr>
              <w:t xml:space="preserve">Wh odpovídá 3,6 GJ. </w:t>
            </w:r>
          </w:p>
        </w:tc>
      </w:tr>
    </w:tbl>
    <w:p w:rsidR="005F7068" w:rsidRDefault="005F7068" w:rsidP="005F7068">
      <w:r>
        <w:br w:type="page"/>
      </w:r>
    </w:p>
    <w:p w:rsidR="005F7068" w:rsidRPr="00680AC7" w:rsidRDefault="005F7068" w:rsidP="005F7068"/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F7068" w:rsidRPr="0098535B" w:rsidTr="00E66FBA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8535B">
              <w:rPr>
                <w:rFonts w:asciiTheme="majorHAnsi" w:hAnsiTheme="majorHAnsi"/>
                <w:b/>
                <w:bCs/>
                <w:color w:val="000000"/>
              </w:rPr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F7068" w:rsidRPr="0098535B" w:rsidTr="00E66FBA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F7068" w:rsidRPr="0098535B" w:rsidTr="00E66FBA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068" w:rsidRPr="00194C06" w:rsidRDefault="005F7068" w:rsidP="00E66FBA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716C8B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Množství emisí primárních částic a prekurzorů sekundárních částit v rámci podpořených projektů</w:t>
            </w:r>
          </w:p>
        </w:tc>
      </w:tr>
      <w:tr w:rsidR="005F7068" w:rsidRPr="0098535B" w:rsidTr="00E66FBA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F7068" w:rsidRPr="0098535B" w:rsidTr="00E66FBA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716C8B">
              <w:rPr>
                <w:b/>
                <w:bCs/>
                <w:color w:val="000000"/>
              </w:rPr>
              <w:t>3 61 11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Výsledek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716C8B">
              <w:rPr>
                <w:b/>
                <w:bCs/>
                <w:color w:val="000000"/>
              </w:rPr>
              <w:t>t/rok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F7068" w:rsidRPr="0098535B" w:rsidTr="00E66FBA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F7068" w:rsidRPr="0098535B" w:rsidTr="00E66FBA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068" w:rsidRPr="00B276E4" w:rsidRDefault="005F7068" w:rsidP="00E66FB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716C8B">
              <w:rPr>
                <w:sz w:val="20"/>
                <w:szCs w:val="20"/>
              </w:rPr>
              <w:t>Snížení celkových ročních emisí suspendovaných částic PM10 a emisí oxidů dusíků, oxidu siřičitého a amoniaku jako výchozích látek pro vznik sekundárních prachových částic v tunách za rok. Hodnota indikátoru se získá součtem celkových ročních emisí PM10 a prekurzorů sekundárních částic v tunách násobených jejich faktorem potenciálu tvorby částic.</w:t>
            </w:r>
          </w:p>
        </w:tc>
      </w:tr>
      <w:tr w:rsidR="005F7068" w:rsidRPr="0098535B" w:rsidTr="00E66FBA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Specifický</w:t>
            </w:r>
            <w:r w:rsidRPr="002944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>cíl (SC)</w:t>
            </w:r>
          </w:p>
        </w:tc>
      </w:tr>
      <w:tr w:rsidR="005F7068" w:rsidRPr="0098535B" w:rsidTr="00E66FBA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</w:rPr>
              <w:t xml:space="preserve">2 </w:t>
            </w:r>
            <w:r w:rsidRPr="00CD318D">
              <w:rPr>
                <w:sz w:val="20"/>
                <w:szCs w:val="20"/>
              </w:rPr>
              <w:t xml:space="preserve">- </w:t>
            </w:r>
            <w:r w:rsidRPr="006B2D24">
              <w:rPr>
                <w:sz w:val="20"/>
                <w:szCs w:val="20"/>
              </w:rPr>
              <w:t>Zkvalitnění veřejných služeb a podmínek života pro obyvatele regionů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2.5 </w:t>
            </w:r>
            <w:r>
              <w:rPr>
                <w:color w:val="000000"/>
              </w:rPr>
              <w:t>-</w:t>
            </w:r>
            <w:r w:rsidRPr="00294487">
              <w:rPr>
                <w:color w:val="000000"/>
              </w:rPr>
              <w:t xml:space="preserve"> </w:t>
            </w:r>
            <w:r w:rsidRPr="00D2776C">
              <w:rPr>
                <w:sz w:val="20"/>
                <w:szCs w:val="20"/>
              </w:rPr>
              <w:t>Snížení energetické náročnosti v sektoru bydlení</w:t>
            </w:r>
          </w:p>
        </w:tc>
      </w:tr>
      <w:tr w:rsidR="005F7068" w:rsidRPr="0098535B" w:rsidTr="00E66FBA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F7068" w:rsidRPr="0098535B" w:rsidTr="00E66FBA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Určená žadatelem</w:t>
            </w:r>
          </w:p>
        </w:tc>
      </w:tr>
      <w:tr w:rsidR="005F7068" w:rsidRPr="0098535B" w:rsidTr="00E66FBA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F7068" w:rsidRPr="0098535B" w:rsidTr="00E66FBA">
        <w:trPr>
          <w:trHeight w:val="28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F7068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Indikátor je povinný k výběru a k naplnění pro projekty, ve kterých dochází k realizaci podporovaných opatření v</w:t>
            </w:r>
            <w:r w:rsidR="00C34529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objektech</w:t>
            </w:r>
            <w:r w:rsidR="00C34529">
              <w:rPr>
                <w:sz w:val="20"/>
                <w:szCs w:val="20"/>
              </w:rPr>
              <w:t>, které měly před realizací projektu vlastní zdroj</w:t>
            </w:r>
            <w:r>
              <w:rPr>
                <w:sz w:val="20"/>
                <w:szCs w:val="20"/>
              </w:rPr>
              <w:t xml:space="preserve"> tepla, </w:t>
            </w:r>
            <w:r w:rsidR="00C34529">
              <w:rPr>
                <w:sz w:val="20"/>
                <w:szCs w:val="20"/>
              </w:rPr>
              <w:t>spalující</w:t>
            </w:r>
            <w:r>
              <w:rPr>
                <w:sz w:val="20"/>
                <w:szCs w:val="20"/>
              </w:rPr>
              <w:t xml:space="preserve"> pevná, kapalná, nebo plynná paliva.</w:t>
            </w:r>
          </w:p>
          <w:p w:rsidR="005F7068" w:rsidRPr="00754528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  <w:vertAlign w:val="subscript"/>
              </w:rPr>
            </w:pPr>
            <w:r w:rsidRPr="00757AAC">
              <w:rPr>
                <w:sz w:val="20"/>
                <w:szCs w:val="20"/>
              </w:rPr>
              <w:t xml:space="preserve">Žadatel </w:t>
            </w:r>
            <w:r w:rsidRPr="0037429E">
              <w:rPr>
                <w:sz w:val="20"/>
                <w:szCs w:val="20"/>
              </w:rPr>
              <w:t xml:space="preserve">vykazuje všechny hodnoty na základě výpočtů z dat uvedených v </w:t>
            </w:r>
            <w:r>
              <w:rPr>
                <w:sz w:val="20"/>
                <w:szCs w:val="20"/>
              </w:rPr>
              <w:t>průkazu energetické náročnosti (stav jde o rozdíl hodnot v PENB, který zachybuje stav před projektem a PENB, který dokumentuje stav po realizaci projektu).</w:t>
            </w:r>
          </w:p>
          <w:p w:rsidR="005F7068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Výchozí</w:t>
            </w:r>
            <w:r w:rsidRPr="009D35EF">
              <w:rPr>
                <w:b/>
                <w:sz w:val="20"/>
                <w:szCs w:val="20"/>
                <w:u w:val="single"/>
              </w:rPr>
              <w:t xml:space="preserve"> hodnota: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Množství </w:t>
            </w:r>
            <w:r w:rsidRPr="00716C8B">
              <w:rPr>
                <w:sz w:val="20"/>
                <w:szCs w:val="20"/>
              </w:rPr>
              <w:t>ročních emisí suspendovaných částic PM10 a emisí oxidů dusíků, oxidu siřičitého a amoniaku jako výchozích látek pro vznik sekundárních prachových částic v tunách za rok.</w:t>
            </w:r>
            <w:r>
              <w:rPr>
                <w:sz w:val="20"/>
                <w:szCs w:val="20"/>
              </w:rPr>
              <w:t xml:space="preserve"> Tato hodnota je stanovena na základě výpočtu z údajů uvedených v průkazu energetické náročnosti budov, který zachycuje stav před zahájením projektu.</w:t>
            </w:r>
          </w:p>
          <w:p w:rsidR="005F7068" w:rsidRPr="003F2F6E" w:rsidRDefault="005F7068" w:rsidP="00E66FBA">
            <w:pPr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hodnota:</w:t>
            </w:r>
            <w:r w:rsidRPr="009D35EF">
              <w:rPr>
                <w:b/>
                <w:sz w:val="20"/>
                <w:szCs w:val="20"/>
              </w:rPr>
              <w:t xml:space="preserve"> </w:t>
            </w:r>
            <w:r w:rsidRPr="00757AAC">
              <w:rPr>
                <w:sz w:val="20"/>
                <w:szCs w:val="20"/>
              </w:rPr>
              <w:t>vypočtené</w:t>
            </w:r>
            <w:r>
              <w:rPr>
                <w:sz w:val="20"/>
                <w:szCs w:val="20"/>
              </w:rPr>
              <w:t xml:space="preserve"> množství </w:t>
            </w:r>
            <w:r w:rsidRPr="00716C8B">
              <w:rPr>
                <w:sz w:val="20"/>
                <w:szCs w:val="20"/>
              </w:rPr>
              <w:t>ročních emisí suspendovaných částic PM10 a emisí oxidů dusíků, oxidu siřičitého a amoniaku jako výchozích látek pro vznik sekundárních pr</w:t>
            </w:r>
            <w:r>
              <w:rPr>
                <w:sz w:val="20"/>
                <w:szCs w:val="20"/>
              </w:rPr>
              <w:t>achových částic v tunách za rok po ukončení realizace projektu. Tato hodnota je stanovena na základě výpočtu z údajů uvedených v průkazu energetické náročnosti budov, který zachycuje stav po ukončení projektu.</w:t>
            </w:r>
          </w:p>
          <w:p w:rsidR="005F7068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Dosažená hodnota: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757AAC">
              <w:rPr>
                <w:sz w:val="20"/>
                <w:szCs w:val="20"/>
              </w:rPr>
              <w:t>vypočtené</w:t>
            </w:r>
            <w:r>
              <w:rPr>
                <w:sz w:val="20"/>
                <w:szCs w:val="20"/>
              </w:rPr>
              <w:t xml:space="preserve"> množství </w:t>
            </w:r>
            <w:r w:rsidRPr="00716C8B">
              <w:rPr>
                <w:sz w:val="20"/>
                <w:szCs w:val="20"/>
              </w:rPr>
              <w:t xml:space="preserve">ročních emisí suspendovaných částic PM10 a emisí oxidů dusíků, </w:t>
            </w:r>
            <w:r w:rsidRPr="00716C8B">
              <w:rPr>
                <w:sz w:val="20"/>
                <w:szCs w:val="20"/>
              </w:rPr>
              <w:lastRenderedPageBreak/>
              <w:t>oxidu siřičitého a amoniaku jako výchozích látek pro vznik sekundárních pr</w:t>
            </w:r>
            <w:r>
              <w:rPr>
                <w:sz w:val="20"/>
                <w:szCs w:val="20"/>
              </w:rPr>
              <w:t>achových částic v tunách za rok po realizaci projektu. Tato hodnota je stanovena na základě výpočtu z údajů uvedených v průkazu energetické náročnosti budov, který zachycuje stav po ukončení projektu.</w:t>
            </w:r>
          </w:p>
          <w:p w:rsidR="005F7068" w:rsidRDefault="005F7068" w:rsidP="00E66FBA">
            <w:pPr>
              <w:pStyle w:val="text"/>
              <w:spacing w:before="120" w:after="0" w:line="276" w:lineRule="auto"/>
              <w:ind w:left="170" w:right="170"/>
              <w:rPr>
                <w:b/>
                <w:sz w:val="20"/>
                <w:szCs w:val="20"/>
              </w:rPr>
            </w:pPr>
            <w:r w:rsidRPr="00D82F42">
              <w:rPr>
                <w:b/>
                <w:sz w:val="20"/>
                <w:szCs w:val="20"/>
              </w:rPr>
              <w:t>Tolerance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8733D9">
              <w:rPr>
                <w:sz w:val="20"/>
                <w:szCs w:val="20"/>
              </w:rPr>
              <w:t xml:space="preserve">žádná, </w:t>
            </w:r>
            <w:r>
              <w:rPr>
                <w:sz w:val="20"/>
                <w:szCs w:val="20"/>
              </w:rPr>
              <w:t>výpočty vychází z</w:t>
            </w:r>
            <w:r w:rsidRPr="008733D9">
              <w:rPr>
                <w:sz w:val="20"/>
                <w:szCs w:val="20"/>
              </w:rPr>
              <w:t xml:space="preserve"> údajů obsažen</w:t>
            </w:r>
            <w:r>
              <w:rPr>
                <w:sz w:val="20"/>
                <w:szCs w:val="20"/>
              </w:rPr>
              <w:t>ých</w:t>
            </w:r>
            <w:r w:rsidRPr="008733D9">
              <w:rPr>
                <w:sz w:val="20"/>
                <w:szCs w:val="20"/>
              </w:rPr>
              <w:t xml:space="preserve"> v PENB, </w:t>
            </w:r>
            <w:r>
              <w:rPr>
                <w:sz w:val="20"/>
                <w:szCs w:val="20"/>
              </w:rPr>
              <w:t>proto se cílová a dosažená hodnota musí vždy rovnat.</w:t>
            </w:r>
          </w:p>
          <w:p w:rsidR="005F7068" w:rsidRPr="00B276E4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</w:t>
            </w:r>
            <w:r>
              <w:rPr>
                <w:sz w:val="20"/>
                <w:szCs w:val="20"/>
              </w:rPr>
              <w:t xml:space="preserve">nění cílové hodnoty indikátoru, </w:t>
            </w:r>
            <w:r w:rsidRPr="00BB1C6F">
              <w:rPr>
                <w:sz w:val="20"/>
                <w:szCs w:val="20"/>
              </w:rPr>
              <w:t>je stanovena v Podmínkách rozhodnutí o poskytnutí dotace.</w:t>
            </w:r>
          </w:p>
        </w:tc>
      </w:tr>
      <w:tr w:rsidR="005F7068" w:rsidRPr="0098535B" w:rsidTr="00E66FBA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70197F" w:rsidRDefault="005F7068" w:rsidP="00E66FBA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F7068" w:rsidRPr="0098535B" w:rsidTr="00E66FBA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F7068" w:rsidRPr="000E2AF2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 hodnotu</w:t>
            </w:r>
            <w:r w:rsidRPr="000E2AF2">
              <w:rPr>
                <w:color w:val="000000"/>
                <w:sz w:val="20"/>
                <w:szCs w:val="20"/>
              </w:rPr>
              <w:t xml:space="preserve"> vykazuje v systému MS2014+ prostřednictvím: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5F7068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:rsidR="005F7068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B276E4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:rsidR="005F7068" w:rsidRPr="00A553E8" w:rsidRDefault="005F7068" w:rsidP="00E66FBA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A553E8">
              <w:rPr>
                <w:b/>
                <w:sz w:val="20"/>
                <w:szCs w:val="20"/>
              </w:rPr>
              <w:t>ŘO doporučuje, aby byl výpočet proveden energetickým specialistou, jež je držitelem příslušného oprávnění dle § 10, odst. 1, zákona 406/2000 Sb., o hospodaření energií, v platném znění.</w:t>
            </w:r>
          </w:p>
          <w:p w:rsidR="005F7068" w:rsidRDefault="005F7068" w:rsidP="00E66FBA">
            <w:pPr>
              <w:spacing w:before="120" w:after="120"/>
              <w:ind w:left="170" w:right="170"/>
              <w:rPr>
                <w:b/>
                <w:bCs/>
                <w:i/>
                <w:sz w:val="23"/>
                <w:szCs w:val="23"/>
              </w:rPr>
            </w:pPr>
            <w:r>
              <w:rPr>
                <w:color w:val="000000"/>
                <w:sz w:val="20"/>
                <w:szCs w:val="20"/>
              </w:rPr>
              <w:t>H</w:t>
            </w:r>
            <w:r w:rsidRPr="003F2F6E">
              <w:rPr>
                <w:color w:val="000000"/>
                <w:sz w:val="20"/>
                <w:szCs w:val="20"/>
              </w:rPr>
              <w:t>odnota indikátoru vyjadřuje hmotnost částic PM</w:t>
            </w:r>
            <w:r w:rsidRPr="003F2F6E">
              <w:rPr>
                <w:color w:val="000000"/>
                <w:sz w:val="20"/>
                <w:szCs w:val="20"/>
                <w:vertAlign w:val="subscript"/>
              </w:rPr>
              <w:t>10,</w:t>
            </w:r>
            <w:r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 w:rsidRPr="003F2F6E">
              <w:rPr>
                <w:color w:val="000000"/>
                <w:sz w:val="20"/>
                <w:szCs w:val="20"/>
              </w:rPr>
              <w:t>NO</w:t>
            </w:r>
            <w:r w:rsidRPr="003F2F6E">
              <w:rPr>
                <w:color w:val="000000"/>
                <w:sz w:val="20"/>
                <w:szCs w:val="20"/>
                <w:vertAlign w:val="subscript"/>
              </w:rPr>
              <w:t>x,</w:t>
            </w:r>
            <w:r>
              <w:rPr>
                <w:color w:val="000000"/>
                <w:sz w:val="20"/>
                <w:szCs w:val="20"/>
                <w:vertAlign w:val="subscript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S0</w:t>
            </w:r>
            <w:r>
              <w:rPr>
                <w:color w:val="000000"/>
                <w:sz w:val="20"/>
                <w:szCs w:val="20"/>
                <w:vertAlign w:val="subscript"/>
              </w:rPr>
              <w:t xml:space="preserve">2 </w:t>
            </w:r>
            <w:r>
              <w:rPr>
                <w:color w:val="000000"/>
                <w:sz w:val="20"/>
                <w:szCs w:val="20"/>
              </w:rPr>
              <w:t>v tunách z rok vynásobených následujícími faktory tvorby jejich částic (Amoniak (NH</w:t>
            </w:r>
            <w:r>
              <w:rPr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color w:val="000000"/>
                <w:sz w:val="20"/>
                <w:szCs w:val="20"/>
              </w:rPr>
              <w:t xml:space="preserve">) v uvažovaných případech nevzniká a proto je z dalších výpočtů vyřazen): </w:t>
            </w:r>
            <w:r>
              <w:rPr>
                <w:b/>
                <w:bCs/>
                <w:i/>
                <w:sz w:val="23"/>
                <w:szCs w:val="23"/>
              </w:rPr>
              <w:t>EZ =</w:t>
            </w:r>
            <w:r w:rsidRPr="001E284B">
              <w:rPr>
                <w:b/>
                <w:bCs/>
                <w:i/>
                <w:sz w:val="23"/>
                <w:szCs w:val="23"/>
              </w:rPr>
              <w:t xml:space="preserve"> </w:t>
            </w:r>
            <w:r>
              <w:rPr>
                <w:b/>
                <w:bCs/>
                <w:i/>
                <w:sz w:val="23"/>
                <w:szCs w:val="23"/>
              </w:rPr>
              <w:t xml:space="preserve">(1 x </w:t>
            </w:r>
            <w:r w:rsidRPr="001E284B">
              <w:rPr>
                <w:b/>
                <w:bCs/>
                <w:i/>
                <w:sz w:val="23"/>
                <w:szCs w:val="23"/>
              </w:rPr>
              <w:t>PM</w:t>
            </w:r>
            <w:r w:rsidRPr="001E284B">
              <w:rPr>
                <w:b/>
                <w:bCs/>
                <w:i/>
                <w:sz w:val="23"/>
                <w:szCs w:val="23"/>
                <w:vertAlign w:val="subscript"/>
              </w:rPr>
              <w:t>10</w:t>
            </w:r>
            <w:r>
              <w:rPr>
                <w:b/>
                <w:bCs/>
                <w:i/>
                <w:sz w:val="23"/>
                <w:szCs w:val="23"/>
              </w:rPr>
              <w:t>)+ (</w:t>
            </w:r>
            <w:r w:rsidRPr="001E284B">
              <w:rPr>
                <w:b/>
                <w:bCs/>
                <w:i/>
                <w:sz w:val="23"/>
                <w:szCs w:val="23"/>
              </w:rPr>
              <w:t>0,88 × No</w:t>
            </w:r>
            <w:r w:rsidRPr="001E284B">
              <w:rPr>
                <w:b/>
                <w:bCs/>
                <w:i/>
                <w:sz w:val="16"/>
                <w:szCs w:val="16"/>
              </w:rPr>
              <w:t>x</w:t>
            </w:r>
            <w:r>
              <w:rPr>
                <w:b/>
                <w:bCs/>
                <w:i/>
                <w:sz w:val="23"/>
                <w:szCs w:val="23"/>
              </w:rPr>
              <w:t>) + (</w:t>
            </w:r>
            <w:r w:rsidRPr="001E284B">
              <w:rPr>
                <w:b/>
                <w:bCs/>
                <w:i/>
                <w:sz w:val="23"/>
                <w:szCs w:val="23"/>
              </w:rPr>
              <w:t>0,54 × SO</w:t>
            </w:r>
            <w:r w:rsidRPr="001E284B">
              <w:rPr>
                <w:b/>
                <w:bCs/>
                <w:i/>
                <w:sz w:val="16"/>
                <w:szCs w:val="16"/>
              </w:rPr>
              <w:t>2</w:t>
            </w:r>
            <w:r>
              <w:rPr>
                <w:b/>
                <w:bCs/>
                <w:i/>
                <w:sz w:val="23"/>
                <w:szCs w:val="23"/>
              </w:rPr>
              <w:t>)</w:t>
            </w:r>
          </w:p>
          <w:p w:rsidR="005F7068" w:rsidRPr="00C21601" w:rsidRDefault="005F7068" w:rsidP="00E66FBA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  <w:u w:val="single"/>
              </w:rPr>
            </w:pPr>
            <w:r w:rsidRPr="00C21601">
              <w:rPr>
                <w:b/>
                <w:sz w:val="20"/>
                <w:szCs w:val="20"/>
                <w:u w:val="single"/>
              </w:rPr>
              <w:t>Stanovení množství vypuštěné znečišťující látky (</w:t>
            </w:r>
            <w:proofErr w:type="spellStart"/>
            <w:r w:rsidRPr="00C21601">
              <w:rPr>
                <w:b/>
                <w:sz w:val="20"/>
                <w:szCs w:val="20"/>
                <w:u w:val="single"/>
              </w:rPr>
              <w:t>Ez</w:t>
            </w:r>
            <w:proofErr w:type="spellEnd"/>
            <w:r w:rsidRPr="00C21601">
              <w:rPr>
                <w:b/>
                <w:sz w:val="20"/>
                <w:szCs w:val="20"/>
                <w:u w:val="single"/>
              </w:rPr>
              <w:t xml:space="preserve">) se provede výpočtem podle vztahu: </w:t>
            </w:r>
          </w:p>
          <w:p w:rsidR="005F7068" w:rsidRPr="003F2F6E" w:rsidRDefault="005F7068" w:rsidP="00E66FBA">
            <w:pPr>
              <w:spacing w:before="120" w:after="120"/>
              <w:ind w:left="170" w:right="170"/>
              <w:jc w:val="both"/>
              <w:rPr>
                <w:b/>
                <w:sz w:val="20"/>
                <w:szCs w:val="20"/>
              </w:rPr>
            </w:pPr>
            <w:proofErr w:type="spellStart"/>
            <w:r w:rsidRPr="003F2F6E">
              <w:rPr>
                <w:b/>
                <w:sz w:val="20"/>
                <w:szCs w:val="20"/>
              </w:rPr>
              <w:t>Ez</w:t>
            </w:r>
            <w:proofErr w:type="spellEnd"/>
            <w:r w:rsidRPr="003F2F6E">
              <w:rPr>
                <w:b/>
                <w:sz w:val="20"/>
                <w:szCs w:val="20"/>
              </w:rPr>
              <w:t xml:space="preserve"> = </w:t>
            </w:r>
            <w:proofErr w:type="spellStart"/>
            <w:r w:rsidRPr="003F2F6E">
              <w:rPr>
                <w:b/>
                <w:sz w:val="20"/>
                <w:szCs w:val="20"/>
              </w:rPr>
              <w:t>Ef</w:t>
            </w:r>
            <w:proofErr w:type="spellEnd"/>
            <w:r w:rsidRPr="003F2F6E">
              <w:rPr>
                <w:b/>
                <w:sz w:val="20"/>
                <w:szCs w:val="20"/>
              </w:rPr>
              <w:t xml:space="preserve"> x M </w:t>
            </w:r>
          </w:p>
          <w:p w:rsidR="005F7068" w:rsidRPr="00C21601" w:rsidRDefault="005F7068" w:rsidP="00E66FBA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3F2F6E">
              <w:rPr>
                <w:sz w:val="20"/>
                <w:szCs w:val="20"/>
              </w:rPr>
              <w:t xml:space="preserve">kde </w:t>
            </w:r>
            <w:proofErr w:type="spellStart"/>
            <w:r w:rsidRPr="003F2F6E">
              <w:rPr>
                <w:sz w:val="20"/>
                <w:szCs w:val="20"/>
              </w:rPr>
              <w:t>Ef</w:t>
            </w:r>
            <w:proofErr w:type="spellEnd"/>
            <w:r w:rsidRPr="003F2F6E">
              <w:rPr>
                <w:sz w:val="20"/>
                <w:szCs w:val="20"/>
              </w:rPr>
              <w:t xml:space="preserve"> je emisní faktor a M je množství jednotek</w:t>
            </w:r>
            <w:r>
              <w:rPr>
                <w:sz w:val="20"/>
                <w:szCs w:val="20"/>
              </w:rPr>
              <w:t xml:space="preserve"> </w:t>
            </w:r>
            <w:r w:rsidRPr="003F2F6E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 xml:space="preserve">vyjádřených v objemu </w:t>
            </w:r>
            <w:r w:rsidRPr="00261CAA">
              <w:rPr>
                <w:b/>
                <w:sz w:val="20"/>
                <w:szCs w:val="20"/>
              </w:rPr>
              <w:t>spotřeb</w:t>
            </w:r>
            <w:r>
              <w:rPr>
                <w:b/>
                <w:sz w:val="20"/>
                <w:szCs w:val="20"/>
              </w:rPr>
              <w:t>y</w:t>
            </w:r>
            <w:r w:rsidRPr="003F2F6E">
              <w:rPr>
                <w:b/>
                <w:sz w:val="20"/>
                <w:szCs w:val="20"/>
              </w:rPr>
              <w:t xml:space="preserve"> za jeden rok</w:t>
            </w:r>
            <w:r>
              <w:rPr>
                <w:b/>
                <w:sz w:val="20"/>
                <w:szCs w:val="20"/>
              </w:rPr>
              <w:t xml:space="preserve"> v kg nebo m</w:t>
            </w:r>
            <w:r w:rsidRPr="007E088B">
              <w:rPr>
                <w:b/>
                <w:sz w:val="20"/>
                <w:szCs w:val="20"/>
                <w:vertAlign w:val="superscript"/>
              </w:rPr>
              <w:t>3</w:t>
            </w:r>
            <w:r w:rsidRPr="003F2F6E">
              <w:rPr>
                <w:b/>
                <w:sz w:val="20"/>
                <w:szCs w:val="20"/>
              </w:rPr>
              <w:t>)</w:t>
            </w:r>
            <w:r w:rsidRPr="003F2F6E">
              <w:rPr>
                <w:sz w:val="20"/>
                <w:szCs w:val="20"/>
              </w:rPr>
              <w:t>, na které je emisní faktor vztažen (vztažná veličina emisního faktoru - například hmotnost spáleného paliva, hmotnost vstupní suroviny, hmotnost produkce, počet jednotek produkce, apod.)</w:t>
            </w:r>
            <w:r>
              <w:rPr>
                <w:sz w:val="20"/>
                <w:szCs w:val="20"/>
              </w:rPr>
              <w:t>. Výsledné hodnoty se poté vynásobí jejich faktory</w:t>
            </w:r>
            <w:r w:rsidRPr="001B44DC">
              <w:rPr>
                <w:sz w:val="20"/>
                <w:szCs w:val="20"/>
              </w:rPr>
              <w:t xml:space="preserve"> potenciálu tvorby částic</w:t>
            </w:r>
            <w:r>
              <w:rPr>
                <w:sz w:val="20"/>
                <w:szCs w:val="20"/>
              </w:rPr>
              <w:t>.</w:t>
            </w:r>
          </w:p>
          <w:p w:rsidR="005F7068" w:rsidRDefault="005F7068" w:rsidP="00E66FBA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Příklad výsledného vzorce pro indikátor (P je podíl PM</w:t>
            </w:r>
            <w:r>
              <w:rPr>
                <w:sz w:val="20"/>
                <w:szCs w:val="20"/>
                <w:vertAlign w:val="subscript"/>
              </w:rPr>
              <w:t xml:space="preserve">10 </w:t>
            </w:r>
            <w:r>
              <w:rPr>
                <w:sz w:val="20"/>
                <w:szCs w:val="20"/>
              </w:rPr>
              <w:t>na celkových TZL):</w:t>
            </w:r>
          </w:p>
          <w:p w:rsidR="005F7068" w:rsidRDefault="005F7068" w:rsidP="00E66FBA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EZ = (EF</w:t>
            </w:r>
            <w:r>
              <w:rPr>
                <w:sz w:val="20"/>
                <w:szCs w:val="20"/>
                <w:vertAlign w:val="subscript"/>
              </w:rPr>
              <w:t>TZL</w:t>
            </w:r>
            <w:r>
              <w:rPr>
                <w:sz w:val="20"/>
                <w:szCs w:val="20"/>
              </w:rPr>
              <w:t xml:space="preserve"> x M x P) + (0,88 x EF</w:t>
            </w:r>
            <w:r>
              <w:rPr>
                <w:sz w:val="20"/>
                <w:szCs w:val="20"/>
                <w:vertAlign w:val="subscript"/>
              </w:rPr>
              <w:t xml:space="preserve">Nox </w:t>
            </w:r>
            <w:r>
              <w:rPr>
                <w:sz w:val="20"/>
                <w:szCs w:val="20"/>
              </w:rPr>
              <w:t>x M) + (0,54 x EF</w:t>
            </w:r>
            <w:r>
              <w:rPr>
                <w:sz w:val="20"/>
                <w:szCs w:val="20"/>
                <w:vertAlign w:val="subscript"/>
              </w:rPr>
              <w:t>SO2</w:t>
            </w:r>
            <w:r>
              <w:rPr>
                <w:sz w:val="20"/>
                <w:szCs w:val="20"/>
              </w:rPr>
              <w:t xml:space="preserve"> x M)</w:t>
            </w:r>
          </w:p>
          <w:p w:rsidR="005F7068" w:rsidRPr="00C21601" w:rsidRDefault="005F7068" w:rsidP="00E66FBA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 výpočtu použije žadatel údaje z Průkazu energetické náročnosti budov. V případě, že žadatel nezná přesnou hmotnost spotřebovaného paliva, vzorec lze upravit do podoby, které počítá s primární energií a výhřevností paliva (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M=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energie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kWh</m:t>
                      </m:r>
                    </m:e>
                  </m:d>
                  <m:r>
                    <w:rPr>
                      <w:rFonts w:ascii="Cambria Math" w:hAnsi="Cambria Math"/>
                      <w:sz w:val="20"/>
                      <w:szCs w:val="20"/>
                    </w:rPr>
                    <m:t>*3,6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výhřevnost (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MJ</m:t>
                      </m:r>
                    </m:num>
                    <m:den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kg</m:t>
                      </m:r>
                    </m:den>
                  </m:f>
                  <m:r>
                    <w:rPr>
                      <w:rFonts w:ascii="Cambria Math" w:hAnsi="Cambria Math"/>
                      <w:sz w:val="20"/>
                      <w:szCs w:val="20"/>
                    </w:rPr>
                    <m:t>)</m:t>
                  </m:r>
                </m:den>
              </m:f>
            </m:oMath>
            <w:r>
              <w:rPr>
                <w:rFonts w:eastAsiaTheme="minorEastAsia"/>
                <w:sz w:val="20"/>
                <w:szCs w:val="20"/>
              </w:rPr>
              <w:t>)</w:t>
            </w:r>
          </w:p>
          <w:p w:rsidR="005F7068" w:rsidRPr="00923A9C" w:rsidRDefault="005F7068" w:rsidP="00E66FBA">
            <w:pPr>
              <w:spacing w:before="120" w:after="120"/>
              <w:ind w:left="170" w:right="170"/>
              <w:rPr>
                <w:b/>
                <w:color w:val="000000"/>
                <w:sz w:val="20"/>
                <w:szCs w:val="20"/>
              </w:rPr>
            </w:pPr>
            <w:r w:rsidRPr="00923A9C">
              <w:rPr>
                <w:b/>
                <w:color w:val="000000"/>
                <w:sz w:val="20"/>
                <w:szCs w:val="20"/>
              </w:rPr>
              <w:t>Výpočet vychází z hodnoty celkové roční spotřeby primární energie z PENB.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574EE">
              <w:rPr>
                <w:color w:val="000000"/>
                <w:sz w:val="20"/>
                <w:szCs w:val="20"/>
              </w:rPr>
              <w:t>V případě, kdy nejsou známy hodnoty emisních faktorů zn</w:t>
            </w:r>
            <w:r>
              <w:rPr>
                <w:color w:val="000000"/>
                <w:sz w:val="20"/>
                <w:szCs w:val="20"/>
              </w:rPr>
              <w:t>e</w:t>
            </w:r>
            <w:r w:rsidRPr="00B574EE">
              <w:rPr>
                <w:color w:val="000000"/>
                <w:sz w:val="20"/>
                <w:szCs w:val="20"/>
              </w:rPr>
              <w:t xml:space="preserve">čišťujících látek, použijí se údaje z </w:t>
            </w:r>
            <w:r w:rsidRPr="00371767">
              <w:rPr>
                <w:b/>
                <w:color w:val="000000"/>
                <w:sz w:val="20"/>
                <w:szCs w:val="20"/>
              </w:rPr>
              <w:t>Věstníku Ministerstva životních prostředí ČR, ročník XIII, srpen 2013, částka 8</w:t>
            </w:r>
          </w:p>
          <w:p w:rsidR="005F7068" w:rsidRPr="003F2F6E" w:rsidRDefault="005F7068" w:rsidP="00E66FBA">
            <w:pPr>
              <w:spacing w:before="120" w:after="0"/>
              <w:ind w:left="1813" w:right="17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Tabulka </w:t>
            </w:r>
            <w:proofErr w:type="gramStart"/>
            <w:r>
              <w:rPr>
                <w:b/>
                <w:sz w:val="20"/>
                <w:szCs w:val="20"/>
              </w:rPr>
              <w:t xml:space="preserve">č.1 </w:t>
            </w:r>
            <w:r w:rsidRPr="003F2F6E">
              <w:rPr>
                <w:b/>
                <w:sz w:val="20"/>
                <w:szCs w:val="20"/>
              </w:rPr>
              <w:t>Podíl</w:t>
            </w:r>
            <w:proofErr w:type="gramEnd"/>
            <w:r w:rsidRPr="003F2F6E">
              <w:rPr>
                <w:b/>
                <w:sz w:val="20"/>
                <w:szCs w:val="20"/>
              </w:rPr>
              <w:t xml:space="preserve"> (P) PM</w:t>
            </w:r>
            <w:r w:rsidRPr="003F2F6E">
              <w:rPr>
                <w:b/>
                <w:sz w:val="20"/>
                <w:szCs w:val="20"/>
                <w:vertAlign w:val="subscript"/>
              </w:rPr>
              <w:t xml:space="preserve">10  </w:t>
            </w:r>
            <w:r w:rsidRPr="003F2F6E">
              <w:rPr>
                <w:b/>
                <w:sz w:val="20"/>
                <w:szCs w:val="20"/>
              </w:rPr>
              <w:t>na TZL</w:t>
            </w:r>
            <w:r w:rsidRPr="003F2F6E">
              <w:rPr>
                <w:b/>
                <w:sz w:val="20"/>
                <w:szCs w:val="20"/>
                <w:vertAlign w:val="subscript"/>
              </w:rPr>
              <w:t xml:space="preserve"> </w:t>
            </w:r>
            <w:r w:rsidRPr="003F2F6E">
              <w:rPr>
                <w:b/>
                <w:sz w:val="20"/>
                <w:szCs w:val="20"/>
              </w:rPr>
              <w:t>pro potřeby výpočtu</w:t>
            </w:r>
            <w:r>
              <w:rPr>
                <w:b/>
                <w:sz w:val="20"/>
                <w:szCs w:val="20"/>
              </w:rPr>
              <w:t>:</w:t>
            </w:r>
          </w:p>
          <w:tbl>
            <w:tblPr>
              <w:tblW w:w="5670" w:type="dxa"/>
              <w:tblInd w:w="177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15"/>
              <w:gridCol w:w="1196"/>
              <w:gridCol w:w="1959"/>
            </w:tblGrid>
            <w:tr w:rsidR="005F7068" w:rsidTr="00E66FBA">
              <w:trPr>
                <w:trHeight w:val="565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5F7068" w:rsidRPr="0036305D" w:rsidRDefault="005F7068" w:rsidP="00E66FBA">
                  <w:pPr>
                    <w:spacing w:before="240"/>
                    <w:jc w:val="center"/>
                    <w:rPr>
                      <w:rFonts w:ascii="Calibri" w:hAnsi="Calibri"/>
                      <w:b/>
                      <w:i/>
                      <w:color w:val="000000"/>
                    </w:rPr>
                  </w:pPr>
                  <w:r w:rsidRPr="0036305D">
                    <w:rPr>
                      <w:rFonts w:ascii="Calibri" w:hAnsi="Calibri"/>
                      <w:b/>
                      <w:i/>
                      <w:color w:val="000000"/>
                    </w:rPr>
                    <w:t>Druh paliva</w:t>
                  </w:r>
                </w:p>
              </w:tc>
              <w:tc>
                <w:tcPr>
                  <w:tcW w:w="119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noWrap/>
                  <w:vAlign w:val="center"/>
                  <w:hideMark/>
                </w:tcPr>
                <w:p w:rsidR="005F7068" w:rsidRPr="0036305D" w:rsidRDefault="005F7068" w:rsidP="00E66FBA">
                  <w:pPr>
                    <w:spacing w:before="240"/>
                    <w:jc w:val="center"/>
                    <w:rPr>
                      <w:rFonts w:ascii="Calibri" w:hAnsi="Calibri"/>
                      <w:b/>
                      <w:i/>
                      <w:color w:val="000000"/>
                    </w:rPr>
                  </w:pPr>
                  <w:r w:rsidRPr="0036305D">
                    <w:rPr>
                      <w:rFonts w:ascii="Calibri" w:hAnsi="Calibri"/>
                      <w:b/>
                      <w:i/>
                      <w:color w:val="000000"/>
                    </w:rPr>
                    <w:t>PM10</w:t>
                  </w:r>
                </w:p>
              </w:tc>
              <w:tc>
                <w:tcPr>
                  <w:tcW w:w="195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BFBFBF" w:themeFill="background1" w:themeFillShade="BF"/>
                  <w:vAlign w:val="center"/>
                  <w:hideMark/>
                </w:tcPr>
                <w:p w:rsidR="005F7068" w:rsidRPr="0036305D" w:rsidRDefault="005F7068" w:rsidP="00E66FBA">
                  <w:pPr>
                    <w:spacing w:before="240"/>
                    <w:jc w:val="center"/>
                    <w:rPr>
                      <w:rFonts w:ascii="Calibri" w:hAnsi="Calibri"/>
                      <w:b/>
                      <w:i/>
                      <w:color w:val="000000"/>
                    </w:rPr>
                  </w:pPr>
                  <w:r w:rsidRPr="0036305D">
                    <w:rPr>
                      <w:rFonts w:ascii="Calibri" w:hAnsi="Calibri"/>
                      <w:b/>
                      <w:i/>
                      <w:color w:val="000000"/>
                    </w:rPr>
                    <w:t xml:space="preserve">Vyjádření v </w:t>
                  </w:r>
                  <w:r w:rsidRPr="0036305D">
                    <w:rPr>
                      <w:rFonts w:ascii="Calibri" w:hAnsi="Calibri"/>
                      <w:b/>
                      <w:i/>
                      <w:color w:val="000000"/>
                    </w:rPr>
                    <w:lastRenderedPageBreak/>
                    <w:t>násobku TLZ</w:t>
                  </w:r>
                </w:p>
              </w:tc>
            </w:tr>
            <w:tr w:rsidR="005F7068" w:rsidTr="00E66FBA">
              <w:trPr>
                <w:trHeight w:val="420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lastRenderedPageBreak/>
                    <w:t>Tříděné druhy uhlí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ind w:right="17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40%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ind w:right="170" w:firstLineChars="300" w:firstLine="66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0,40 x TZL</w:t>
                  </w:r>
                </w:p>
              </w:tc>
            </w:tr>
            <w:tr w:rsidR="005F7068" w:rsidTr="00E66FBA">
              <w:trPr>
                <w:trHeight w:val="422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Dřevo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ind w:right="17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95%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ind w:right="170" w:firstLineChars="300" w:firstLine="66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0,95 x TZL</w:t>
                  </w:r>
                </w:p>
              </w:tc>
            </w:tr>
            <w:tr w:rsidR="005F7068" w:rsidTr="00E66FBA">
              <w:trPr>
                <w:trHeight w:val="412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Prachové druhy uhlí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ind w:right="17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35%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ind w:right="170" w:firstLineChars="300" w:firstLine="66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0,35 x TZL</w:t>
                  </w:r>
                </w:p>
              </w:tc>
            </w:tr>
            <w:tr w:rsidR="005F7068" w:rsidTr="00E66FBA">
              <w:trPr>
                <w:trHeight w:val="404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Jiná biomasa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ind w:right="17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95%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ind w:right="170" w:firstLineChars="300" w:firstLine="66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0,95 x TZL</w:t>
                  </w:r>
                </w:p>
              </w:tc>
            </w:tr>
            <w:tr w:rsidR="005F7068" w:rsidTr="00E66FBA">
              <w:trPr>
                <w:trHeight w:val="423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Lignit, proplástek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ind w:right="17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23%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ind w:right="170" w:firstLineChars="300" w:firstLine="66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0,23 x TZL</w:t>
                  </w:r>
                </w:p>
              </w:tc>
            </w:tr>
            <w:tr w:rsidR="005F7068" w:rsidTr="00E66FBA">
              <w:trPr>
                <w:trHeight w:val="416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Topné oleje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ind w:right="17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83%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ind w:right="170" w:firstLineChars="300" w:firstLine="66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0,83 x TZL</w:t>
                  </w:r>
                </w:p>
              </w:tc>
            </w:tr>
            <w:tr w:rsidR="005F7068" w:rsidTr="00E66FBA">
              <w:trPr>
                <w:trHeight w:val="408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Koks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ind w:right="17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40%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ind w:right="170" w:firstLineChars="300" w:firstLine="66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0,40 x TZL</w:t>
                  </w:r>
                </w:p>
              </w:tc>
            </w:tr>
            <w:tr w:rsidR="005F7068" w:rsidTr="00E66FBA">
              <w:trPr>
                <w:trHeight w:val="477"/>
              </w:trPr>
              <w:tc>
                <w:tcPr>
                  <w:tcW w:w="251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Plynná paliva</w:t>
                  </w:r>
                </w:p>
              </w:tc>
              <w:tc>
                <w:tcPr>
                  <w:tcW w:w="119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ind w:right="17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100%</w:t>
                  </w:r>
                </w:p>
              </w:tc>
              <w:tc>
                <w:tcPr>
                  <w:tcW w:w="19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F7068" w:rsidRPr="00923A9C" w:rsidRDefault="005F7068" w:rsidP="00E66FBA">
                  <w:pPr>
                    <w:spacing w:after="0"/>
                    <w:ind w:right="170" w:firstLineChars="300" w:firstLine="660"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923A9C">
                    <w:rPr>
                      <w:rFonts w:ascii="Calibri" w:hAnsi="Calibri"/>
                      <w:color w:val="000000"/>
                    </w:rPr>
                    <w:t>1 x TZL</w:t>
                  </w:r>
                </w:p>
              </w:tc>
            </w:tr>
          </w:tbl>
          <w:p w:rsidR="005F7068" w:rsidRPr="00371767" w:rsidRDefault="005F7068" w:rsidP="00E66FBA">
            <w:pPr>
              <w:spacing w:after="0"/>
              <w:ind w:left="1416" w:right="17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B40A4A">
              <w:rPr>
                <w:i/>
                <w:sz w:val="20"/>
                <w:szCs w:val="20"/>
              </w:rPr>
              <w:t xml:space="preserve">  </w:t>
            </w:r>
            <w:r w:rsidRPr="00371767">
              <w:rPr>
                <w:b/>
                <w:i/>
                <w:sz w:val="20"/>
                <w:szCs w:val="20"/>
              </w:rPr>
              <w:t xml:space="preserve">Zdroj: Věstník Ministerstva životních prostředí ČR, ročník XIII, </w:t>
            </w:r>
          </w:p>
          <w:p w:rsidR="005F7068" w:rsidRPr="00371767" w:rsidRDefault="005F7068" w:rsidP="00E66FBA">
            <w:pPr>
              <w:spacing w:after="0"/>
              <w:ind w:left="1416" w:right="170"/>
              <w:jc w:val="both"/>
              <w:rPr>
                <w:b/>
                <w:i/>
                <w:sz w:val="20"/>
                <w:szCs w:val="20"/>
              </w:rPr>
            </w:pPr>
            <w:r w:rsidRPr="00371767">
              <w:rPr>
                <w:b/>
                <w:i/>
                <w:sz w:val="20"/>
                <w:szCs w:val="20"/>
              </w:rPr>
              <w:t xml:space="preserve">                   Srpen </w:t>
            </w:r>
            <w:r>
              <w:rPr>
                <w:b/>
                <w:i/>
                <w:sz w:val="20"/>
                <w:szCs w:val="20"/>
              </w:rPr>
              <w:t>2013</w:t>
            </w:r>
            <w:r w:rsidRPr="00371767">
              <w:rPr>
                <w:b/>
                <w:i/>
                <w:sz w:val="20"/>
                <w:szCs w:val="20"/>
              </w:rPr>
              <w:t>, částka 8</w:t>
            </w:r>
          </w:p>
          <w:p w:rsidR="005F7068" w:rsidRDefault="005F7068" w:rsidP="00E66FBA">
            <w:pPr>
              <w:spacing w:after="0"/>
              <w:ind w:left="1416" w:right="170"/>
              <w:jc w:val="both"/>
              <w:rPr>
                <w:i/>
                <w:sz w:val="20"/>
                <w:szCs w:val="20"/>
              </w:rPr>
            </w:pPr>
          </w:p>
          <w:p w:rsidR="005F7068" w:rsidRPr="00923A9C" w:rsidRDefault="005F7068" w:rsidP="00E66FBA">
            <w:pPr>
              <w:spacing w:after="120"/>
              <w:ind w:left="170" w:right="170"/>
              <w:jc w:val="both"/>
              <w:rPr>
                <w:sz w:val="20"/>
                <w:szCs w:val="20"/>
              </w:rPr>
            </w:pPr>
            <w:r w:rsidRPr="00923A9C">
              <w:rPr>
                <w:sz w:val="20"/>
                <w:szCs w:val="20"/>
              </w:rPr>
              <w:t>Kvalitativní parametry paliva (</w:t>
            </w:r>
            <w:proofErr w:type="spellStart"/>
            <w:r w:rsidRPr="00923A9C">
              <w:rPr>
                <w:sz w:val="20"/>
                <w:szCs w:val="20"/>
              </w:rPr>
              <w:t>Ap</w:t>
            </w:r>
            <w:proofErr w:type="spellEnd"/>
            <w:r w:rsidRPr="00923A9C">
              <w:rPr>
                <w:sz w:val="20"/>
                <w:szCs w:val="20"/>
              </w:rPr>
              <w:t xml:space="preserve">, </w:t>
            </w:r>
            <w:proofErr w:type="spellStart"/>
            <w:r w:rsidRPr="00923A9C">
              <w:rPr>
                <w:sz w:val="20"/>
                <w:szCs w:val="20"/>
              </w:rPr>
              <w:t>Sp</w:t>
            </w:r>
            <w:proofErr w:type="spellEnd"/>
            <w:r w:rsidRPr="00923A9C">
              <w:rPr>
                <w:sz w:val="20"/>
                <w:szCs w:val="20"/>
              </w:rPr>
              <w:t xml:space="preserve">, S) by měly být zjištěny u dodavatele paliva, pokud nejsou známy, je možno vycházet z údajů v katalozích paliv důlních společností, eventuálně i z průměrných hodnot pro určitý typ paliva a dodavatele. V případě, že žadatel nemá možnost tyto hodnoty získat, lze použít následující hodnoty z tabulky č. </w:t>
            </w:r>
            <w:r>
              <w:rPr>
                <w:sz w:val="20"/>
                <w:szCs w:val="20"/>
              </w:rPr>
              <w:t>2</w:t>
            </w:r>
            <w:r w:rsidRPr="00923A9C">
              <w:rPr>
                <w:sz w:val="20"/>
                <w:szCs w:val="20"/>
              </w:rPr>
              <w:t>:</w:t>
            </w:r>
          </w:p>
          <w:p w:rsidR="005F7068" w:rsidRPr="002D53D8" w:rsidRDefault="005F7068" w:rsidP="00E66FBA">
            <w:pPr>
              <w:spacing w:after="0"/>
              <w:ind w:left="1418" w:right="17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2D53D8">
              <w:rPr>
                <w:b/>
                <w:sz w:val="20"/>
                <w:szCs w:val="20"/>
              </w:rPr>
              <w:t xml:space="preserve">Tabulka č. </w:t>
            </w:r>
            <w:r>
              <w:rPr>
                <w:b/>
                <w:sz w:val="20"/>
                <w:szCs w:val="20"/>
              </w:rPr>
              <w:t>2</w:t>
            </w:r>
            <w:r w:rsidRPr="002D53D8">
              <w:rPr>
                <w:b/>
                <w:sz w:val="20"/>
                <w:szCs w:val="20"/>
              </w:rPr>
              <w:t xml:space="preserve"> Kvalitativní parametry paliva </w:t>
            </w:r>
          </w:p>
          <w:tbl>
            <w:tblPr>
              <w:tblW w:w="5651" w:type="dxa"/>
              <w:jc w:val="center"/>
              <w:tblInd w:w="41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818"/>
              <w:gridCol w:w="1444"/>
              <w:gridCol w:w="1389"/>
            </w:tblGrid>
            <w:tr w:rsidR="005F7068" w:rsidRPr="0036305D" w:rsidTr="00E66FBA">
              <w:trPr>
                <w:trHeight w:val="447"/>
                <w:jc w:val="center"/>
              </w:trPr>
              <w:tc>
                <w:tcPr>
                  <w:tcW w:w="28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01"/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cs-CZ"/>
                    </w:rPr>
                    <w:t>Druh paliva</w:t>
                  </w:r>
                </w:p>
              </w:tc>
              <w:tc>
                <w:tcPr>
                  <w:tcW w:w="1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2476A2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cs-CZ"/>
                    </w:rPr>
                    <w:t>Ap</w:t>
                  </w:r>
                  <w:proofErr w:type="spellEnd"/>
                </w:p>
              </w:tc>
              <w:tc>
                <w:tcPr>
                  <w:tcW w:w="13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cs-CZ"/>
                    </w:rPr>
                  </w:pPr>
                  <w:proofErr w:type="spellStart"/>
                  <w:r w:rsidRPr="002476A2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cs-CZ"/>
                    </w:rPr>
                    <w:t>Sp</w:t>
                  </w:r>
                  <w:proofErr w:type="spellEnd"/>
                </w:p>
              </w:tc>
            </w:tr>
            <w:tr w:rsidR="005F7068" w:rsidRPr="0036305D" w:rsidTr="00E66FBA">
              <w:trPr>
                <w:trHeight w:val="255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hnědé uhlí tříděné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16,60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1,67</w:t>
                  </w:r>
                </w:p>
              </w:tc>
            </w:tr>
            <w:tr w:rsidR="005F7068" w:rsidRPr="0036305D" w:rsidTr="00E66FBA">
              <w:trPr>
                <w:trHeight w:val="255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hnědé uhlí prachové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40,77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2,32</w:t>
                  </w:r>
                </w:p>
              </w:tc>
            </w:tr>
            <w:tr w:rsidR="005F7068" w:rsidRPr="0036305D" w:rsidTr="00E66FBA">
              <w:trPr>
                <w:trHeight w:val="255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černé uhlí tříděné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14,50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0,61</w:t>
                  </w:r>
                </w:p>
              </w:tc>
            </w:tr>
            <w:tr w:rsidR="005F7068" w:rsidRPr="0036305D" w:rsidTr="00E66FBA">
              <w:trPr>
                <w:trHeight w:val="255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černé uhlí prachové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26,11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0,55</w:t>
                  </w:r>
                </w:p>
              </w:tc>
            </w:tr>
            <w:tr w:rsidR="005F7068" w:rsidRPr="0036305D" w:rsidTr="00E66FBA">
              <w:trPr>
                <w:trHeight w:val="255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proplástek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39,05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0,68</w:t>
                  </w:r>
                </w:p>
              </w:tc>
            </w:tr>
            <w:tr w:rsidR="005F7068" w:rsidRPr="0036305D" w:rsidTr="00E66FBA">
              <w:trPr>
                <w:trHeight w:val="255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lignit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48,66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3,10</w:t>
                  </w:r>
                </w:p>
              </w:tc>
            </w:tr>
            <w:tr w:rsidR="005F7068" w:rsidRPr="0036305D" w:rsidTr="00E66FBA">
              <w:trPr>
                <w:trHeight w:val="255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koks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10,78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0,61</w:t>
                  </w:r>
                </w:p>
              </w:tc>
            </w:tr>
            <w:tr w:rsidR="005F7068" w:rsidRPr="0036305D" w:rsidTr="00E66FBA">
              <w:trPr>
                <w:trHeight w:val="255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brikety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12,40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0,70</w:t>
                  </w:r>
                </w:p>
              </w:tc>
            </w:tr>
            <w:tr w:rsidR="005F7068" w:rsidRPr="0036305D" w:rsidTr="00E66FBA">
              <w:trPr>
                <w:trHeight w:val="255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dřevo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2,20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0,13</w:t>
                  </w:r>
                </w:p>
              </w:tc>
            </w:tr>
            <w:tr w:rsidR="005F7068" w:rsidRPr="0036305D" w:rsidTr="00E66FBA">
              <w:trPr>
                <w:trHeight w:val="255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sláma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0,20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0,05</w:t>
                  </w:r>
                </w:p>
              </w:tc>
            </w:tr>
            <w:tr w:rsidR="005F7068" w:rsidRPr="0036305D" w:rsidTr="00E66FBA">
              <w:trPr>
                <w:trHeight w:val="255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jiný druh biomasy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0,20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0,05</w:t>
                  </w:r>
                </w:p>
              </w:tc>
            </w:tr>
            <w:tr w:rsidR="005F7068" w:rsidRPr="0036305D" w:rsidTr="00E66FBA">
              <w:trPr>
                <w:trHeight w:val="270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jiné tuhé palivo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15,00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1,00</w:t>
                  </w:r>
                </w:p>
              </w:tc>
            </w:tr>
            <w:tr w:rsidR="005F7068" w:rsidRPr="0036305D" w:rsidTr="00E66FBA">
              <w:trPr>
                <w:trHeight w:val="409"/>
                <w:jc w:val="center"/>
              </w:trPr>
              <w:tc>
                <w:tcPr>
                  <w:tcW w:w="28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i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44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BFBFBF"/>
                  <w:noWrap/>
                  <w:vAlign w:val="center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3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b/>
                      <w:bCs/>
                      <w:i/>
                      <w:sz w:val="20"/>
                      <w:szCs w:val="20"/>
                      <w:lang w:eastAsia="cs-CZ"/>
                    </w:rPr>
                    <w:t>S</w:t>
                  </w:r>
                </w:p>
              </w:tc>
            </w:tr>
            <w:tr w:rsidR="005F7068" w:rsidRPr="0036305D" w:rsidTr="00E66FBA">
              <w:trPr>
                <w:trHeight w:val="255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těžký topný olej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0,00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2,00</w:t>
                  </w:r>
                </w:p>
              </w:tc>
            </w:tr>
            <w:tr w:rsidR="005F7068" w:rsidRPr="0036305D" w:rsidTr="00E66FBA">
              <w:trPr>
                <w:trHeight w:val="255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lehký topný olej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0,00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0,20</w:t>
                  </w:r>
                </w:p>
              </w:tc>
            </w:tr>
            <w:tr w:rsidR="005F7068" w:rsidRPr="0036305D" w:rsidTr="00E66FBA">
              <w:trPr>
                <w:trHeight w:val="255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extra lehký topný olej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0,00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0,10</w:t>
                  </w:r>
                </w:p>
              </w:tc>
            </w:tr>
            <w:tr w:rsidR="005F7068" w:rsidRPr="0036305D" w:rsidTr="00E66FBA">
              <w:trPr>
                <w:trHeight w:val="255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nafta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0,00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0,05</w:t>
                  </w:r>
                </w:p>
              </w:tc>
            </w:tr>
            <w:tr w:rsidR="005F7068" w:rsidRPr="0036305D" w:rsidTr="00E66FBA">
              <w:trPr>
                <w:trHeight w:val="255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kapalná biopaliva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0,00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0,05</w:t>
                  </w:r>
                </w:p>
              </w:tc>
            </w:tr>
            <w:tr w:rsidR="005F7068" w:rsidRPr="0036305D" w:rsidTr="00E66FBA">
              <w:trPr>
                <w:trHeight w:val="270"/>
                <w:jc w:val="center"/>
              </w:trPr>
              <w:tc>
                <w:tcPr>
                  <w:tcW w:w="28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jiné kapalné palivo</w:t>
                  </w:r>
                </w:p>
              </w:tc>
              <w:tc>
                <w:tcPr>
                  <w:tcW w:w="144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0,00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F7068" w:rsidRPr="002476A2" w:rsidRDefault="005F7068" w:rsidP="00E66FBA">
                  <w:pPr>
                    <w:spacing w:after="0" w:line="240" w:lineRule="auto"/>
                    <w:ind w:firstLineChars="100" w:firstLine="220"/>
                    <w:jc w:val="right"/>
                    <w:rPr>
                      <w:rFonts w:eastAsia="Times New Roman" w:cs="Times New Roman"/>
                      <w:lang w:eastAsia="cs-CZ"/>
                    </w:rPr>
                  </w:pPr>
                  <w:r w:rsidRPr="002476A2">
                    <w:rPr>
                      <w:rFonts w:eastAsia="Times New Roman" w:cs="Times New Roman"/>
                      <w:lang w:eastAsia="cs-CZ"/>
                    </w:rPr>
                    <w:t>0,50</w:t>
                  </w:r>
                </w:p>
              </w:tc>
            </w:tr>
          </w:tbl>
          <w:p w:rsidR="005F7068" w:rsidRDefault="005F7068" w:rsidP="00E66FBA">
            <w:pPr>
              <w:spacing w:after="0"/>
              <w:ind w:left="1418" w:right="17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proofErr w:type="spellStart"/>
            <w:r w:rsidRPr="003F2F6E">
              <w:rPr>
                <w:sz w:val="18"/>
                <w:szCs w:val="18"/>
              </w:rPr>
              <w:t>Ap</w:t>
            </w:r>
            <w:proofErr w:type="spellEnd"/>
            <w:r w:rsidRPr="003F2F6E">
              <w:rPr>
                <w:sz w:val="18"/>
                <w:szCs w:val="18"/>
              </w:rPr>
              <w:t xml:space="preserve"> - obsah popela </w:t>
            </w:r>
            <w:r w:rsidRPr="00261CAA">
              <w:rPr>
                <w:sz w:val="18"/>
                <w:szCs w:val="18"/>
              </w:rPr>
              <w:t>v původním vzorku pevných paliv</w:t>
            </w:r>
            <w:r>
              <w:rPr>
                <w:sz w:val="18"/>
                <w:szCs w:val="18"/>
              </w:rPr>
              <w:t xml:space="preserve"> </w:t>
            </w:r>
            <w:r w:rsidRPr="003F2F6E">
              <w:rPr>
                <w:sz w:val="18"/>
                <w:szCs w:val="18"/>
              </w:rPr>
              <w:t>(% hm.)</w:t>
            </w:r>
            <w:r w:rsidRPr="003F2F6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   </w:t>
            </w:r>
            <w:proofErr w:type="spellStart"/>
            <w:r w:rsidRPr="003F2F6E">
              <w:rPr>
                <w:sz w:val="18"/>
                <w:szCs w:val="18"/>
              </w:rPr>
              <w:t>Sp</w:t>
            </w:r>
            <w:proofErr w:type="spellEnd"/>
            <w:r w:rsidRPr="003F2F6E">
              <w:rPr>
                <w:sz w:val="18"/>
                <w:szCs w:val="18"/>
              </w:rPr>
              <w:t xml:space="preserve"> - obsah síry v původním vzorku pevných paliv (% hm.)</w:t>
            </w:r>
            <w:r w:rsidRPr="003F2F6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        </w:t>
            </w:r>
            <w:r w:rsidRPr="003F2F6E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  </w:t>
            </w:r>
            <w:r w:rsidRPr="003F2F6E">
              <w:rPr>
                <w:sz w:val="18"/>
                <w:szCs w:val="18"/>
              </w:rPr>
              <w:t xml:space="preserve"> - obsah síry v původním vzorku paliva pro kapalná paliva (% hm.), propan-butan (g/kg),</w:t>
            </w:r>
            <w:r w:rsidRPr="003F2F6E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lastRenderedPageBreak/>
              <w:t xml:space="preserve">               </w:t>
            </w:r>
            <w:r w:rsidRPr="003F2F6E">
              <w:rPr>
                <w:sz w:val="18"/>
                <w:szCs w:val="18"/>
              </w:rPr>
              <w:t>plynná paliva (mg/m</w:t>
            </w:r>
            <w:r w:rsidRPr="003F2F6E">
              <w:rPr>
                <w:sz w:val="18"/>
                <w:szCs w:val="18"/>
                <w:vertAlign w:val="superscript"/>
              </w:rPr>
              <w:t>3</w:t>
            </w:r>
            <w:r>
              <w:rPr>
                <w:sz w:val="18"/>
                <w:szCs w:val="18"/>
              </w:rPr>
              <w:t>)</w:t>
            </w:r>
          </w:p>
          <w:p w:rsidR="005F7068" w:rsidRDefault="005F7068" w:rsidP="00E66FBA">
            <w:pPr>
              <w:spacing w:before="120" w:after="120"/>
              <w:ind w:left="1418" w:right="170"/>
              <w:rPr>
                <w:color w:val="000000"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</w:t>
            </w:r>
            <w:r w:rsidRPr="00106832">
              <w:rPr>
                <w:b/>
                <w:sz w:val="18"/>
                <w:szCs w:val="18"/>
              </w:rPr>
              <w:t>Pro plynná paliva jsou uvedené parametry pro výpočet vždy 0.</w:t>
            </w:r>
          </w:p>
          <w:p w:rsidR="005F7068" w:rsidRPr="008733D9" w:rsidRDefault="005F7068" w:rsidP="00E66FBA">
            <w:pPr>
              <w:spacing w:after="0"/>
              <w:ind w:left="1416" w:right="17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5F7068" w:rsidRPr="00680AC7" w:rsidRDefault="005F7068" w:rsidP="005F7068">
      <w:r>
        <w:lastRenderedPageBreak/>
        <w:br w:type="page"/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843"/>
        <w:gridCol w:w="992"/>
        <w:gridCol w:w="1134"/>
        <w:gridCol w:w="1843"/>
        <w:gridCol w:w="1701"/>
      </w:tblGrid>
      <w:tr w:rsidR="005F7068" w:rsidRPr="0098535B" w:rsidTr="00E66FBA">
        <w:trPr>
          <w:trHeight w:val="390"/>
        </w:trPr>
        <w:tc>
          <w:tcPr>
            <w:tcW w:w="9229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000000" w:fill="76923C"/>
            <w:vAlign w:val="bottom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98535B">
              <w:rPr>
                <w:rFonts w:asciiTheme="majorHAnsi" w:hAnsiTheme="majorHAnsi"/>
                <w:b/>
                <w:bCs/>
                <w:color w:val="000000"/>
              </w:rPr>
              <w:lastRenderedPageBreak/>
              <w:t xml:space="preserve">METODICKÝ </w:t>
            </w:r>
            <w:r>
              <w:rPr>
                <w:rFonts w:asciiTheme="majorHAnsi" w:hAnsiTheme="majorHAnsi"/>
                <w:b/>
                <w:bCs/>
                <w:color w:val="000000"/>
              </w:rPr>
              <w:t>LIST INDIKÁTORU</w:t>
            </w:r>
          </w:p>
        </w:tc>
      </w:tr>
      <w:tr w:rsidR="005F7068" w:rsidRPr="0098535B" w:rsidTr="00E66FBA">
        <w:trPr>
          <w:trHeight w:val="328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Název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F7068" w:rsidRPr="0098535B" w:rsidTr="00E66FBA">
        <w:trPr>
          <w:trHeight w:val="312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068" w:rsidRPr="00194C06" w:rsidRDefault="005F7068" w:rsidP="00E66FBA">
            <w:pPr>
              <w:spacing w:before="200"/>
              <w:ind w:left="170" w:right="170"/>
              <w:jc w:val="center"/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</w:pPr>
            <w:r w:rsidRPr="00716C8B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Po</w:t>
            </w:r>
            <w:r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>čet domácností, u kterých došlo</w:t>
            </w:r>
            <w:r w:rsidRPr="00716C8B">
              <w:rPr>
                <w:rFonts w:asciiTheme="majorHAnsi" w:hAnsiTheme="majorHAnsi"/>
                <w:b/>
                <w:bCs/>
                <w:caps/>
                <w:color w:val="000000"/>
                <w:sz w:val="24"/>
                <w:szCs w:val="24"/>
              </w:rPr>
              <w:t xml:space="preserve"> ke změně zdroje energie</w:t>
            </w:r>
          </w:p>
        </w:tc>
      </w:tr>
      <w:tr w:rsidR="005F7068" w:rsidRPr="0098535B" w:rsidTr="00E66FBA">
        <w:trPr>
          <w:trHeight w:val="545"/>
        </w:trPr>
        <w:tc>
          <w:tcPr>
            <w:tcW w:w="17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Kód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Typ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Měrná jednotka (MJ)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57"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Environmentální (ENVI) indikátor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right="57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Projektový indikátor</w:t>
            </w:r>
          </w:p>
        </w:tc>
      </w:tr>
      <w:tr w:rsidR="005F7068" w:rsidRPr="0098535B" w:rsidTr="00E66FBA">
        <w:trPr>
          <w:trHeight w:val="43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716C8B">
              <w:rPr>
                <w:b/>
                <w:bCs/>
                <w:color w:val="000000"/>
              </w:rPr>
              <w:t>3 24 03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Výstup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  <w:vertAlign w:val="superscript"/>
              </w:rPr>
            </w:pPr>
            <w:r w:rsidRPr="00EF111D">
              <w:rPr>
                <w:b/>
                <w:bCs/>
                <w:color w:val="000000"/>
              </w:rPr>
              <w:t>Domácnosti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 (samostatný)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-70" w:firstLine="7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Ano</w:t>
            </w:r>
          </w:p>
        </w:tc>
      </w:tr>
      <w:tr w:rsidR="005F7068" w:rsidRPr="0098535B" w:rsidTr="00E66FBA">
        <w:trPr>
          <w:trHeight w:val="236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Definice indikátoru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5F7068" w:rsidRPr="0098535B" w:rsidTr="00E66FBA">
        <w:trPr>
          <w:trHeight w:val="368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5F7068" w:rsidRPr="00B276E4" w:rsidRDefault="005F7068" w:rsidP="00E66FBA">
            <w:pPr>
              <w:spacing w:before="120" w:after="120"/>
              <w:ind w:left="170" w:right="170"/>
              <w:jc w:val="both"/>
              <w:rPr>
                <w:color w:val="000000"/>
                <w:sz w:val="20"/>
                <w:szCs w:val="20"/>
              </w:rPr>
            </w:pPr>
            <w:r w:rsidRPr="00537E94">
              <w:rPr>
                <w:sz w:val="20"/>
                <w:szCs w:val="20"/>
              </w:rPr>
              <w:t>Jedná se o počet domácností (bytových jednotek), u kterých došlo k výměně zdroje energie za jiný ekologičtější.</w:t>
            </w:r>
          </w:p>
        </w:tc>
      </w:tr>
      <w:tr w:rsidR="005F7068" w:rsidRPr="0098535B" w:rsidTr="00E66FBA">
        <w:trPr>
          <w:trHeight w:val="301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Prioritní osa (PO)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color w:val="000000"/>
              </w:rPr>
            </w:pPr>
            <w:r w:rsidRPr="0098535B">
              <w:rPr>
                <w:b/>
                <w:bCs/>
                <w:color w:val="000000"/>
                <w:sz w:val="18"/>
                <w:szCs w:val="18"/>
              </w:rPr>
              <w:t>Specifický</w:t>
            </w:r>
            <w:r w:rsidRPr="0029448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98535B">
              <w:rPr>
                <w:b/>
                <w:bCs/>
                <w:color w:val="000000"/>
                <w:sz w:val="18"/>
                <w:szCs w:val="18"/>
              </w:rPr>
              <w:t>cíl (SC)</w:t>
            </w:r>
          </w:p>
        </w:tc>
      </w:tr>
      <w:tr w:rsidR="005F7068" w:rsidRPr="0098535B" w:rsidTr="00E66FBA">
        <w:trPr>
          <w:trHeight w:val="28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</w:rPr>
              <w:t xml:space="preserve">2 </w:t>
            </w:r>
            <w:r w:rsidRPr="00CD318D">
              <w:rPr>
                <w:sz w:val="20"/>
                <w:szCs w:val="20"/>
              </w:rPr>
              <w:t xml:space="preserve">- </w:t>
            </w:r>
            <w:r w:rsidRPr="006B2D24">
              <w:rPr>
                <w:sz w:val="20"/>
                <w:szCs w:val="20"/>
              </w:rPr>
              <w:t>Zkvalitnění veřejných služeb a podmínek života pro obyvatele regionů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7068" w:rsidRPr="0098535B" w:rsidRDefault="005F7068" w:rsidP="00E66FBA">
            <w:pPr>
              <w:spacing w:before="120" w:after="120"/>
              <w:ind w:left="170" w:right="17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2.5</w:t>
            </w:r>
            <w:r>
              <w:rPr>
                <w:color w:val="000000"/>
              </w:rPr>
              <w:t xml:space="preserve"> -</w:t>
            </w:r>
            <w:r w:rsidRPr="00294487">
              <w:rPr>
                <w:color w:val="000000"/>
              </w:rPr>
              <w:t xml:space="preserve"> </w:t>
            </w:r>
            <w:r w:rsidRPr="00D2776C">
              <w:rPr>
                <w:sz w:val="20"/>
                <w:szCs w:val="20"/>
              </w:rPr>
              <w:t>Snížení energetické náročnosti v sektoru bydlení</w:t>
            </w:r>
          </w:p>
        </w:tc>
      </w:tr>
      <w:tr w:rsidR="005F7068" w:rsidRPr="0098535B" w:rsidTr="00E66FBA">
        <w:trPr>
          <w:trHeight w:val="375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Výchozí hodnota</w:t>
            </w:r>
          </w:p>
        </w:tc>
      </w:tr>
      <w:tr w:rsidR="005F7068" w:rsidRPr="0098535B" w:rsidTr="00E66FBA">
        <w:trPr>
          <w:trHeight w:val="368"/>
        </w:trPr>
        <w:tc>
          <w:tcPr>
            <w:tcW w:w="9229" w:type="dxa"/>
            <w:gridSpan w:val="6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000000" w:fill="FFFFFF"/>
            <w:vAlign w:val="center"/>
            <w:hideMark/>
          </w:tcPr>
          <w:p w:rsidR="005F7068" w:rsidRPr="0098535B" w:rsidRDefault="005F7068" w:rsidP="00E66FB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Nulová</w:t>
            </w:r>
          </w:p>
        </w:tc>
      </w:tr>
      <w:tr w:rsidR="005F7068" w:rsidRPr="0098535B" w:rsidTr="00E66FBA">
        <w:trPr>
          <w:trHeight w:val="269"/>
        </w:trPr>
        <w:tc>
          <w:tcPr>
            <w:tcW w:w="9229" w:type="dxa"/>
            <w:gridSpan w:val="6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  <w:hideMark/>
          </w:tcPr>
          <w:p w:rsidR="005F7068" w:rsidRPr="0098535B" w:rsidRDefault="005F7068" w:rsidP="00E66FBA">
            <w:pPr>
              <w:spacing w:before="80" w:after="80"/>
              <w:ind w:left="170" w:right="17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Upřesňující informace</w:t>
            </w:r>
          </w:p>
        </w:tc>
      </w:tr>
      <w:tr w:rsidR="005F7068" w:rsidRPr="0098535B" w:rsidTr="00E66FBA">
        <w:trPr>
          <w:trHeight w:val="810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hideMark/>
          </w:tcPr>
          <w:p w:rsidR="005F7068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Indikátor je povinný k výběru a k naplnění u projektů, jejichž součástí je některé z následujících opatření:</w:t>
            </w:r>
          </w:p>
          <w:p w:rsidR="005F7068" w:rsidRDefault="005F7068" w:rsidP="00E66FBA">
            <w:pPr>
              <w:pStyle w:val="text"/>
              <w:numPr>
                <w:ilvl w:val="0"/>
                <w:numId w:val="3"/>
              </w:numPr>
              <w:spacing w:before="120" w:after="120"/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kotel na biomasu</w:t>
            </w:r>
          </w:p>
          <w:p w:rsidR="005F7068" w:rsidRDefault="005F7068" w:rsidP="00E66FBA">
            <w:pPr>
              <w:pStyle w:val="text"/>
              <w:numPr>
                <w:ilvl w:val="0"/>
                <w:numId w:val="3"/>
              </w:numPr>
              <w:spacing w:before="120" w:after="120"/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solární </w:t>
            </w:r>
            <w:r w:rsidRPr="00537E94">
              <w:rPr>
                <w:sz w:val="20"/>
                <w:szCs w:val="20"/>
              </w:rPr>
              <w:t>fotovoltaický systém</w:t>
            </w:r>
          </w:p>
          <w:p w:rsidR="005F7068" w:rsidRPr="00537E94" w:rsidRDefault="005F7068" w:rsidP="00E66FBA">
            <w:pPr>
              <w:pStyle w:val="text"/>
              <w:numPr>
                <w:ilvl w:val="0"/>
                <w:numId w:val="3"/>
              </w:numPr>
              <w:spacing w:before="120" w:after="120"/>
              <w:ind w:right="17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fototermický systém</w:t>
            </w:r>
          </w:p>
          <w:p w:rsidR="005F7068" w:rsidRPr="00537E94" w:rsidRDefault="005F7068" w:rsidP="00E66FBA">
            <w:pPr>
              <w:pStyle w:val="text"/>
              <w:numPr>
                <w:ilvl w:val="0"/>
                <w:numId w:val="3"/>
              </w:numPr>
              <w:spacing w:before="120" w:after="120"/>
              <w:ind w:right="170"/>
              <w:rPr>
                <w:sz w:val="20"/>
                <w:szCs w:val="20"/>
              </w:rPr>
            </w:pPr>
            <w:r w:rsidRPr="00537E94">
              <w:rPr>
                <w:sz w:val="20"/>
                <w:szCs w:val="20"/>
              </w:rPr>
              <w:t>tepelné čerpadlo</w:t>
            </w:r>
          </w:p>
          <w:p w:rsidR="005F7068" w:rsidRPr="00537E94" w:rsidRDefault="005F7068" w:rsidP="00E66FBA">
            <w:pPr>
              <w:pStyle w:val="text"/>
              <w:numPr>
                <w:ilvl w:val="0"/>
                <w:numId w:val="3"/>
              </w:numPr>
              <w:spacing w:before="120" w:after="120"/>
              <w:ind w:right="170"/>
              <w:rPr>
                <w:sz w:val="20"/>
                <w:szCs w:val="20"/>
              </w:rPr>
            </w:pPr>
            <w:r w:rsidRPr="00537E94">
              <w:rPr>
                <w:sz w:val="20"/>
                <w:szCs w:val="20"/>
              </w:rPr>
              <w:t>plynový kondenzační kotel</w:t>
            </w:r>
          </w:p>
          <w:p w:rsidR="005F7068" w:rsidRDefault="005F7068" w:rsidP="00E66FBA">
            <w:pPr>
              <w:pStyle w:val="text"/>
              <w:numPr>
                <w:ilvl w:val="0"/>
                <w:numId w:val="3"/>
              </w:numPr>
              <w:spacing w:before="120" w:after="120"/>
              <w:ind w:right="170"/>
              <w:rPr>
                <w:sz w:val="20"/>
                <w:szCs w:val="20"/>
              </w:rPr>
            </w:pPr>
            <w:r w:rsidRPr="00537E94">
              <w:rPr>
                <w:sz w:val="20"/>
                <w:szCs w:val="20"/>
              </w:rPr>
              <w:t>jednotka pro kombinovanou výrobu elektřiny a tepla.</w:t>
            </w:r>
          </w:p>
          <w:p w:rsidR="005F7068" w:rsidRPr="00F71523" w:rsidRDefault="005F7068" w:rsidP="00E66FBA">
            <w:pPr>
              <w:pStyle w:val="text"/>
              <w:spacing w:before="120" w:after="120"/>
              <w:ind w:right="170"/>
              <w:rPr>
                <w:sz w:val="20"/>
                <w:szCs w:val="20"/>
              </w:rPr>
            </w:pPr>
          </w:p>
          <w:p w:rsidR="005F7068" w:rsidRPr="00764007" w:rsidRDefault="005F7068" w:rsidP="00E66FBA">
            <w:pPr>
              <w:ind w:left="170"/>
              <w:rPr>
                <w:b/>
                <w:sz w:val="20"/>
                <w:szCs w:val="20"/>
                <w:u w:val="single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Cílová hodnota:</w:t>
            </w:r>
            <w:r w:rsidRPr="009D35EF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Plánovaný </w:t>
            </w:r>
            <w:r w:rsidRPr="00537E94">
              <w:rPr>
                <w:sz w:val="20"/>
                <w:szCs w:val="20"/>
              </w:rPr>
              <w:t xml:space="preserve">počet domácností, u kterých </w:t>
            </w:r>
            <w:r>
              <w:rPr>
                <w:sz w:val="20"/>
                <w:szCs w:val="20"/>
              </w:rPr>
              <w:t xml:space="preserve">v rámci projektu </w:t>
            </w:r>
            <w:r w:rsidRPr="00537E94">
              <w:rPr>
                <w:sz w:val="20"/>
                <w:szCs w:val="20"/>
              </w:rPr>
              <w:t>do</w:t>
            </w:r>
            <w:r>
              <w:rPr>
                <w:sz w:val="20"/>
                <w:szCs w:val="20"/>
              </w:rPr>
              <w:t>jde</w:t>
            </w:r>
            <w:r w:rsidRPr="00537E94">
              <w:rPr>
                <w:sz w:val="20"/>
                <w:szCs w:val="20"/>
              </w:rPr>
              <w:t xml:space="preserve"> ke změně zdroje energie</w:t>
            </w:r>
            <w:r>
              <w:rPr>
                <w:sz w:val="20"/>
                <w:szCs w:val="20"/>
              </w:rPr>
              <w:t xml:space="preserve"> za jiný ekologičtější. Žadatel se zavazuje hodnotu naplnit k datu ukončení realizace projektu.</w:t>
            </w:r>
          </w:p>
          <w:p w:rsidR="005F7068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9D35EF">
              <w:rPr>
                <w:b/>
                <w:sz w:val="20"/>
                <w:szCs w:val="20"/>
                <w:u w:val="single"/>
              </w:rPr>
              <w:t>Dosažená hodnota: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</w:rPr>
              <w:t xml:space="preserve">Plánovaný </w:t>
            </w:r>
            <w:r w:rsidRPr="00537E94">
              <w:rPr>
                <w:sz w:val="20"/>
                <w:szCs w:val="20"/>
              </w:rPr>
              <w:t xml:space="preserve">počet domácností, u kterých </w:t>
            </w:r>
            <w:r>
              <w:rPr>
                <w:sz w:val="20"/>
                <w:szCs w:val="20"/>
              </w:rPr>
              <w:t xml:space="preserve">v rámci projektu </w:t>
            </w:r>
            <w:r w:rsidRPr="00537E94">
              <w:rPr>
                <w:sz w:val="20"/>
                <w:szCs w:val="20"/>
              </w:rPr>
              <w:t>došlo ke změně zdroje energie</w:t>
            </w:r>
            <w:r>
              <w:rPr>
                <w:sz w:val="20"/>
                <w:szCs w:val="20"/>
              </w:rPr>
              <w:t xml:space="preserve"> za jiný ekologičtější.</w:t>
            </w:r>
          </w:p>
          <w:p w:rsidR="005F7068" w:rsidRPr="00764007" w:rsidRDefault="005F7068" w:rsidP="00E66FBA">
            <w:pPr>
              <w:pStyle w:val="text"/>
              <w:spacing w:before="120" w:after="0" w:line="276" w:lineRule="auto"/>
              <w:ind w:left="170" w:right="170"/>
              <w:rPr>
                <w:b/>
                <w:sz w:val="20"/>
                <w:szCs w:val="20"/>
              </w:rPr>
            </w:pPr>
            <w:r w:rsidRPr="00D82F42">
              <w:rPr>
                <w:b/>
                <w:sz w:val="20"/>
                <w:szCs w:val="20"/>
              </w:rPr>
              <w:t>Tolerance</w:t>
            </w:r>
            <w:r>
              <w:rPr>
                <w:b/>
                <w:sz w:val="20"/>
                <w:szCs w:val="20"/>
              </w:rPr>
              <w:t xml:space="preserve">: ŽÁDNÁ, </w:t>
            </w:r>
            <w:r>
              <w:rPr>
                <w:sz w:val="20"/>
                <w:szCs w:val="20"/>
              </w:rPr>
              <w:t>ž</w:t>
            </w:r>
            <w:r w:rsidRPr="009D35EF">
              <w:rPr>
                <w:sz w:val="20"/>
                <w:szCs w:val="20"/>
              </w:rPr>
              <w:t xml:space="preserve">adatel se zavazuje cílovou hodnotu naplnit </w:t>
            </w:r>
            <w:r>
              <w:rPr>
                <w:sz w:val="20"/>
                <w:szCs w:val="20"/>
              </w:rPr>
              <w:t>nejpozději k datu ukončení realizace projektu. Pokud se během realizace projektu objeví skutečnosti, které vedou k nenaplnění či přeplnění cílové hodnoty indikátoru, je nutné s předstihem</w:t>
            </w:r>
            <w:r w:rsidRPr="00057DF8">
              <w:rPr>
                <w:sz w:val="20"/>
                <w:szCs w:val="20"/>
              </w:rPr>
              <w:t xml:space="preserve"> iniciovat změnové řízení dle kapitoly 16.3 Obecných pravidel</w:t>
            </w:r>
            <w:r>
              <w:rPr>
                <w:sz w:val="20"/>
                <w:szCs w:val="20"/>
              </w:rPr>
              <w:t xml:space="preserve"> pro žadatele, kde příjemce zdůvodní nutnost úpravy cílové hodnoty indikátoru</w:t>
            </w:r>
            <w:r w:rsidRPr="00057D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Pokud tak neučiní, bude nedosažení cílové hodnoty sankcionováno.</w:t>
            </w:r>
          </w:p>
          <w:p w:rsidR="005F7068" w:rsidRPr="00B276E4" w:rsidRDefault="005F7068" w:rsidP="00E66FBA">
            <w:pPr>
              <w:pStyle w:val="text"/>
              <w:spacing w:before="120" w:after="120"/>
              <w:ind w:left="170" w:right="170"/>
              <w:rPr>
                <w:sz w:val="20"/>
                <w:szCs w:val="20"/>
              </w:rPr>
            </w:pPr>
            <w:r w:rsidRPr="00BB1C6F">
              <w:rPr>
                <w:sz w:val="20"/>
                <w:szCs w:val="20"/>
              </w:rPr>
              <w:t>Výše a typ sankce, která je aplikována při pře</w:t>
            </w:r>
            <w:r>
              <w:rPr>
                <w:sz w:val="20"/>
                <w:szCs w:val="20"/>
              </w:rPr>
              <w:t>kročení</w:t>
            </w:r>
            <w:r w:rsidRPr="00BB1C6F">
              <w:rPr>
                <w:sz w:val="20"/>
                <w:szCs w:val="20"/>
              </w:rPr>
              <w:t xml:space="preserve"> nebo nenapl</w:t>
            </w:r>
            <w:r>
              <w:rPr>
                <w:sz w:val="20"/>
                <w:szCs w:val="20"/>
              </w:rPr>
              <w:t xml:space="preserve">nění cílové hodnoty indikátoru, </w:t>
            </w:r>
            <w:r w:rsidRPr="00BB1C6F">
              <w:rPr>
                <w:sz w:val="20"/>
                <w:szCs w:val="20"/>
              </w:rPr>
              <w:t xml:space="preserve">je </w:t>
            </w:r>
            <w:r w:rsidRPr="00BB1C6F">
              <w:rPr>
                <w:sz w:val="20"/>
                <w:szCs w:val="20"/>
              </w:rPr>
              <w:lastRenderedPageBreak/>
              <w:t>stanovena v Podmínkách rozhodnutí o poskytnutí dotace.</w:t>
            </w:r>
          </w:p>
        </w:tc>
      </w:tr>
      <w:tr w:rsidR="005F7068" w:rsidRPr="0098535B" w:rsidTr="00E66FBA">
        <w:trPr>
          <w:trHeight w:val="156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5F7068" w:rsidRPr="0070197F" w:rsidRDefault="005F7068" w:rsidP="00E66FBA">
            <w:pPr>
              <w:pStyle w:val="text"/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Výpočet hodnoty indikátoru na úrovni projektu</w:t>
            </w:r>
          </w:p>
        </w:tc>
      </w:tr>
      <w:tr w:rsidR="005F7068" w:rsidRPr="0098535B" w:rsidTr="00E66FBA">
        <w:trPr>
          <w:trHeight w:val="44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F7068" w:rsidRPr="000E2AF2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Výchozí a cílové hodnoty, stanovené na základě uvedených pravidel, žadatel zadává do žádosti o podporu v sy</w:t>
            </w:r>
            <w:r>
              <w:rPr>
                <w:color w:val="000000"/>
                <w:sz w:val="20"/>
                <w:szCs w:val="20"/>
              </w:rPr>
              <w:t>stému</w:t>
            </w:r>
            <w:r w:rsidRPr="000E2AF2">
              <w:rPr>
                <w:color w:val="000000"/>
                <w:sz w:val="20"/>
                <w:szCs w:val="20"/>
              </w:rPr>
              <w:t xml:space="preserve"> MS2014+. 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</w:rPr>
            </w:pPr>
            <w:r w:rsidRPr="000E2AF2">
              <w:rPr>
                <w:color w:val="000000"/>
                <w:sz w:val="20"/>
                <w:szCs w:val="20"/>
              </w:rPr>
              <w:t>Dosažen</w:t>
            </w:r>
            <w:r>
              <w:rPr>
                <w:color w:val="000000"/>
                <w:sz w:val="20"/>
                <w:szCs w:val="20"/>
              </w:rPr>
              <w:t>ou</w:t>
            </w:r>
            <w:r w:rsidRPr="000E2AF2">
              <w:rPr>
                <w:color w:val="000000"/>
                <w:sz w:val="20"/>
                <w:szCs w:val="20"/>
              </w:rPr>
              <w:t xml:space="preserve"> hodnoty vykazuje v systému MS2014+ prostřednictvím: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Průběžných zpráv o realizaci projektu</w:t>
            </w:r>
          </w:p>
          <w:p w:rsidR="005F7068" w:rsidRPr="000E2AF2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Závěrečné zprávy o realizaci projektu</w:t>
            </w:r>
            <w:r w:rsidRPr="000E2AF2" w:rsidDel="00974639">
              <w:rPr>
                <w:sz w:val="20"/>
                <w:szCs w:val="20"/>
              </w:rPr>
              <w:t xml:space="preserve"> </w:t>
            </w:r>
          </w:p>
          <w:p w:rsidR="005F7068" w:rsidRDefault="005F7068" w:rsidP="00E66FBA">
            <w:pPr>
              <w:spacing w:before="120" w:after="120"/>
              <w:ind w:left="170" w:right="170"/>
              <w:rPr>
                <w:sz w:val="20"/>
                <w:szCs w:val="20"/>
              </w:rPr>
            </w:pPr>
            <w:r w:rsidRPr="000E2AF2">
              <w:rPr>
                <w:sz w:val="20"/>
                <w:szCs w:val="20"/>
              </w:rPr>
              <w:t>Zpráv o udržitelnosti projektu</w:t>
            </w:r>
          </w:p>
          <w:p w:rsidR="005F7068" w:rsidRPr="00B276E4" w:rsidRDefault="005F7068" w:rsidP="00E66FBA">
            <w:pPr>
              <w:spacing w:before="120" w:after="120"/>
              <w:ind w:left="170" w:right="170"/>
              <w:rPr>
                <w:color w:val="000000"/>
                <w:sz w:val="20"/>
                <w:szCs w:val="20"/>
                <w:u w:val="single"/>
              </w:rPr>
            </w:pPr>
            <w:r w:rsidRPr="00B276E4">
              <w:rPr>
                <w:color w:val="000000"/>
                <w:sz w:val="20"/>
                <w:szCs w:val="20"/>
                <w:u w:val="single"/>
              </w:rPr>
              <w:t>Výpočet:</w:t>
            </w:r>
          </w:p>
          <w:p w:rsidR="005F7068" w:rsidRPr="00DA3D09" w:rsidRDefault="005F7068" w:rsidP="00E66FBA">
            <w:pPr>
              <w:spacing w:before="120" w:after="120"/>
              <w:ind w:left="170" w:right="170"/>
              <w:rPr>
                <w:color w:val="000000"/>
              </w:rPr>
            </w:pPr>
            <w:r>
              <w:rPr>
                <w:sz w:val="20"/>
                <w:szCs w:val="20"/>
              </w:rPr>
              <w:t>Celkový počet domácností (bytových jednotek), které prostřednictvím realizace podporovaných opatření změnily v rámci projektu zdroj energie</w:t>
            </w:r>
          </w:p>
        </w:tc>
      </w:tr>
    </w:tbl>
    <w:p w:rsidR="005F7068" w:rsidRDefault="005F7068" w:rsidP="005F7068">
      <w:pPr>
        <w:sectPr w:rsidR="005F7068" w:rsidSect="00195B35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F7068" w:rsidRPr="00263478" w:rsidRDefault="005F7068" w:rsidP="005F7068">
      <w:pPr>
        <w:rPr>
          <w:b/>
          <w:sz w:val="24"/>
          <w:szCs w:val="24"/>
        </w:rPr>
      </w:pPr>
      <w:r w:rsidRPr="00263478">
        <w:rPr>
          <w:b/>
          <w:sz w:val="24"/>
          <w:szCs w:val="24"/>
        </w:rPr>
        <w:lastRenderedPageBreak/>
        <w:t>VAZEBNÍ TABULKA</w:t>
      </w:r>
    </w:p>
    <w:tbl>
      <w:tblPr>
        <w:tblW w:w="132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500"/>
        <w:gridCol w:w="3980"/>
        <w:gridCol w:w="1180"/>
        <w:gridCol w:w="1720"/>
      </w:tblGrid>
      <w:tr w:rsidR="005F7068" w:rsidRPr="00263478" w:rsidTr="005F7068">
        <w:trPr>
          <w:trHeight w:val="721"/>
          <w:tblHeader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263478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3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Číslo aktivity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263478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3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Aktivita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263478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3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263478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3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68" w:rsidRPr="00263478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3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Možnos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 kombinace s jinými aktivitami</w:t>
            </w:r>
            <w:r w:rsidRPr="00263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výzvy</w:t>
            </w:r>
          </w:p>
        </w:tc>
      </w:tr>
      <w:tr w:rsidR="005F7068" w:rsidRPr="004752F9" w:rsidTr="005F7068">
        <w:trPr>
          <w:trHeight w:val="832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kombinace opatření (mimo výměny zdroje tepla), jejichž důsledkem podpořené bytové jednotky </w:t>
            </w: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dosáhnou</w:t>
            </w: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lepšího klasifikačního stupně podle protokolů průkazů energetické náročnosti budov </w:t>
            </w: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(rozdíl mezi klasifikační třídou před realizací a klasifikační třídou po realizaci bude roven minimálně jednomu stupni).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3 </w:t>
            </w: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 10 - Odhadované roční snížení emisí skleníkových plynů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7068" w:rsidRPr="004752F9" w:rsidTr="005F7068">
        <w:trPr>
          <w:trHeight w:val="814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24 01 - Počet domácností s lépe klasifikovanou spotřebou energie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5F7068">
        <w:trPr>
          <w:trHeight w:val="796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23 00 - Snížení konečné spotřeby energie u podpořených subjektů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1219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Pokud podpořený objekt disponuje vlastním zdrojem tepla, který spaluje pevná, plynná nebo kapalná paliva a v důsledku projektu došlo ke snížení spotřeby </w:t>
            </w:r>
            <w:r w:rsidRPr="004752F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  <w:t>tepla</w:t>
            </w: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z tohoto zdroje, je žadatel povinen vybrat a naplnit také indikátor: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3 61 11 - množství emisí primárních částic a prekurzorů sekundárních </w:t>
            </w:r>
            <w:proofErr w:type="spellStart"/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částit</w:t>
            </w:r>
            <w:proofErr w:type="spellEnd"/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 rámci podpořených projektů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5F7068">
        <w:trPr>
          <w:trHeight w:val="87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kombinace opatření (mimo výměny zdroje tepla), jejichž důsledkem je snížení spotřeby energie, ale podpořené bytové jednotky </w:t>
            </w: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nedosáhnou</w:t>
            </w: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lepšího klasifikačního stupně podle protokolů průkazů energetické náročnosti budov </w:t>
            </w: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(není rozdíl mezi klasifikační třídou bytového domu před realizací a klasifikační třídou bytového domu po realizaci)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60 10 - Odhadované roční snížení emisí skleníkových plynů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7068" w:rsidRPr="004752F9" w:rsidTr="005F7068">
        <w:trPr>
          <w:trHeight w:val="952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3 24 02 - Počet domácností se sníženou spotřebou energie bez zlepšení klasifikace spotřeby energie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5F7068">
        <w:trPr>
          <w:trHeight w:val="964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23 00 - Snížení konečné spotřeby energie u podpořených subjektů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5F7068">
        <w:trPr>
          <w:trHeight w:val="112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Pokud podpořený objekt disponuje vlastním zdrojem tepla, který spaluje pevná, plynná nebo kapalná paliva a v důsledku projektu došlo ke snížení spotřeby tepla z tohoto zdroje, je žadatel povinen vybrat a naplnit také indikátor: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3 61 11 - množství emisí primárních částic a prekurzorů sekundárních </w:t>
            </w:r>
            <w:proofErr w:type="spellStart"/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částit</w:t>
            </w:r>
            <w:proofErr w:type="spellEnd"/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 rámci podpořených projektů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5F7068">
        <w:trPr>
          <w:trHeight w:val="664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výměna hlavního zdroje tepla, jejímž důsledkem podpořené bytové jednotky </w:t>
            </w: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dosáhnou lepšího</w:t>
            </w: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klasifikačního stupně podle protokolů průkazů energetické náročnosti budov </w:t>
            </w: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(rozdíl mezi klasifikační třídou před realizací a klasifikační třídou po realizaci bude roven minimálně jednomu stupni).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60 10 - Odhadované roční snížení emisí skleníkových plynů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7068" w:rsidRPr="004752F9" w:rsidTr="00E66FBA">
        <w:trPr>
          <w:trHeight w:val="63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24 01 - Počet domácností s lépe klasifikovanou spotřebou energie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5F7068">
        <w:trPr>
          <w:trHeight w:val="587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23 00 - Snížení konečné spotřeby energie u podpořených subjektů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5F7068">
        <w:trPr>
          <w:trHeight w:val="539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3 24 03 - Počet domácností, u kterých došlo ke změně zdroje energie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5F7068">
        <w:trPr>
          <w:trHeight w:val="852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068" w:rsidRPr="00B43400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4340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Pokud podpořený objekt disponoval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před začátkem projektu</w:t>
            </w:r>
            <w:r w:rsidRPr="00B4340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vlastním zdrojem tepla, který spaluje pevná, plynná nebo kapalná paliva je žadatel povinen vybrat a naplnit také tento indikátor: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B43400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434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61 11 - Množství emisí primárních částic a prekurzorů sekundárních částic v rámci podpořených projektů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B43400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434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5F7068">
        <w:trPr>
          <w:trHeight w:val="663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B43400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4340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Pokud projekt navýšil objem tepla vyrobený z obnovitelných zdrojů (OZE), je žadatel povinen vybrat a naplnit také tento indikátor: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B43400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434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3 48 00 - Výroba tepla z obnovitelných zdrojů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B43400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434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78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výměna hlavního zdroje tepla, jejímž důsledkem je snížení spotřeby energie, ale podpořené bytové jednotky </w:t>
            </w: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nedosáhnou lepšího</w:t>
            </w: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klasifikačního stupně podle protokolů průkazů energetické náročnosti budov </w:t>
            </w: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(není rozdíl mezi klasifikační třídou bytového domu před realizací a klasifikační třídou bytového domu po realizaci)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60 10 - Odhadované roční snížení emisí skleníkových plynů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7068" w:rsidRPr="004752F9" w:rsidTr="00E66FBA">
        <w:trPr>
          <w:trHeight w:val="78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3 24 02 - Počet domácností se sníženou spotřebou energie bez zlepšení klasifikace spotřeby energie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78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23 00 - Snížení konečné spotřeby energie u podpořených subjektů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5F7068">
        <w:trPr>
          <w:trHeight w:val="57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3 24 03 - Počet domácností, u kterých došlo ke změně zdroje energie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5F7068">
        <w:trPr>
          <w:trHeight w:val="82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Pokud podpořený objekt disponoval </w:t>
            </w:r>
            <w:r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před začátkem projektu </w:t>
            </w: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vlastním zdrojem tepla, který spaluje pevná, plynná nebo kapalná paliva je žadatel povinen vybrat a naplnit také tento indikátor: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61 11 - Množství emisí primárních částic a prekurzorů sekundárních částic v rámci podpořených projektů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74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Pokud projekt navýšil objem tepla vyrobený z obnovitelných zdrojů (OZE), je žadatel povinen vybrat a naplnit také tento indikátor: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3 48 00 - Výroba tepla z obnovitelných zdrojů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73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instalace systému nuceného větrání se zpětným získáváním tepla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60 10 - Odhadované roční snížení emisí skleníkových plynů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7068" w:rsidRPr="004752F9" w:rsidTr="00E66FBA">
        <w:trPr>
          <w:trHeight w:val="73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23 00 - Snížení konečné spotřeby energie u podpořených subjektů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131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Pokud projektem podpořené bytové jednotky (všechny nebo pouze část z nich) </w:t>
            </w:r>
            <w:r w:rsidRPr="004752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 xml:space="preserve">dosáhnou </w:t>
            </w: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lepšího klasifikačního stupně podle protokolů průkazů energetické náročnosti budov (rozdíl mezi klasifikační třídou bytového domu před realizací a klasifikační třídou bytového domu po realizaci), je žadatel povinen vybrat a naplnit také tento indikátor: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24 01 - Počet domácností s lépe klasifikovanou spotřebou energie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119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Pokud projektem podpořené bytové jednotky (všechny nebo pouze část z nich) </w:t>
            </w:r>
            <w:r w:rsidRPr="004752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nedosáhnou</w:t>
            </w: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lepšího klasifikačního stupně podle protokolů průkazů energetické náročnosti budov (není rozdíl mezi klasifikační třídou bytového domu před realizací a klasifikační třídou bytového domu po realizaci), je žadatel povinen vybrat a naplnit také tento indikátor: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3 24 02 - Počet domácností se sníženou spotřebou energie bez zlepšení klasifikace spotřeby energie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F7068" w:rsidRDefault="005F7068" w:rsidP="005F7068"/>
    <w:p w:rsidR="005F7068" w:rsidRDefault="005F7068" w:rsidP="005F7068">
      <w:pPr>
        <w:sectPr w:rsidR="005F7068" w:rsidSect="005F7068">
          <w:pgSz w:w="16838" w:h="11906" w:orient="landscape"/>
          <w:pgMar w:top="1276" w:right="1418" w:bottom="1135" w:left="1418" w:header="709" w:footer="709" w:gutter="0"/>
          <w:cols w:space="708"/>
          <w:docGrid w:linePitch="360"/>
        </w:sectPr>
      </w:pPr>
    </w:p>
    <w:p w:rsidR="005F7068" w:rsidRPr="00263478" w:rsidRDefault="005F7068" w:rsidP="005F7068">
      <w:pPr>
        <w:rPr>
          <w:b/>
          <w:sz w:val="24"/>
          <w:szCs w:val="24"/>
        </w:rPr>
      </w:pPr>
      <w:r w:rsidRPr="00263478">
        <w:rPr>
          <w:b/>
          <w:sz w:val="24"/>
          <w:szCs w:val="24"/>
        </w:rPr>
        <w:lastRenderedPageBreak/>
        <w:t>VAZEBNÍ TABULKA</w:t>
      </w:r>
    </w:p>
    <w:tbl>
      <w:tblPr>
        <w:tblW w:w="1320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5500"/>
        <w:gridCol w:w="3980"/>
        <w:gridCol w:w="1180"/>
        <w:gridCol w:w="1720"/>
      </w:tblGrid>
      <w:tr w:rsidR="005F7068" w:rsidRPr="00263478" w:rsidTr="00E66FBA">
        <w:trPr>
          <w:trHeight w:val="990"/>
          <w:tblHeader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263478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3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Číslo aktivity</w:t>
            </w:r>
          </w:p>
        </w:tc>
        <w:tc>
          <w:tcPr>
            <w:tcW w:w="5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263478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3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Aktivita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263478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3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Povinné indikátory k výběru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263478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3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Povinný k naplnění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68" w:rsidRPr="00263478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263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Možnos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t kombinace s jinými aktivitami</w:t>
            </w:r>
            <w:r w:rsidRPr="0026347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 výzvy</w:t>
            </w:r>
          </w:p>
        </w:tc>
      </w:tr>
      <w:tr w:rsidR="005F7068" w:rsidRPr="004752F9" w:rsidTr="00E66FBA">
        <w:trPr>
          <w:trHeight w:val="964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5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kombinace opatření (mimo výměny zdroje tepla), jejichž důsledkem podpořené bytové jednotky </w:t>
            </w: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dosáhnou</w:t>
            </w: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lepšího klasifikačního stupně podle protokolů průkazů energetické náročnosti budov </w:t>
            </w: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(rozdíl mezi klasifikační třídou před realizací a klasifikační třídou po realizaci bude roven minimálně jednomu stupni).</w:t>
            </w:r>
          </w:p>
        </w:tc>
        <w:tc>
          <w:tcPr>
            <w:tcW w:w="3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3 </w:t>
            </w: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60 10 - Odhadované roční snížení emisí skleníkových plynů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7068" w:rsidRPr="004752F9" w:rsidTr="00E66FBA">
        <w:trPr>
          <w:trHeight w:val="1118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24 01 - Počet domácností s lépe klasifikovanou spotřebou energie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952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23 00 - Snížení konečné spotřeby energie u podpořených subjektů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1219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Pokud podpořený objekt disponuje vlastním zdrojem tepla, který spaluje pevná, plynná nebo kapalná paliva a v důsledku projektu došlo ke snížení spotřeby </w:t>
            </w:r>
            <w:r w:rsidRPr="004752F9">
              <w:rPr>
                <w:rFonts w:ascii="Calibri" w:eastAsia="Times New Roman" w:hAnsi="Calibri" w:cs="Times New Roman"/>
                <w:i/>
                <w:iCs/>
                <w:sz w:val="18"/>
                <w:szCs w:val="18"/>
                <w:lang w:eastAsia="cs-CZ"/>
              </w:rPr>
              <w:t>tepla</w:t>
            </w: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z tohoto zdroje, je žadatel povinen vybrat a naplnit také indikátor: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3 61 11 - množství emisí primárních částic a prekurzorů sekundárních </w:t>
            </w:r>
            <w:proofErr w:type="spellStart"/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částit</w:t>
            </w:r>
            <w:proofErr w:type="spellEnd"/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 rámci podpořených projektů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870"/>
        </w:trPr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55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kombinace opatření (mimo výměny zdroje tepla), jejichž důsledkem je snížení spotřeby energie, ale podpořené bytové jednotky </w:t>
            </w: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nedosáhnou</w:t>
            </w: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lepšího klasifikačního stupně podle protokolů průkazů energetické náročnosti budov </w:t>
            </w: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(není rozdíl mezi klasifikační třídou bytového domu před realizací a klasifikační třídou bytového domu po realizaci)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60 10 - Odhadované roční snížení emisí skleníkových plynů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7068" w:rsidRPr="004752F9" w:rsidTr="00E66FBA">
        <w:trPr>
          <w:trHeight w:val="1123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3 24 02 - Počet domácností se sníženou spotřebou energie bez zlepšení klasifikace spotřeby energie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1224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23 00 - Snížení konečné spotřeby energie u podpořených subjektů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1365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Pokud podpořený objekt disponuje vlastním zdrojem tepla, který spaluje pevná, plynná nebo kapalná paliva a v důsledku projektu došlo ke snížení spotřeby tepla z tohoto zdroje, je žadatel povinen vybrat a naplnit také indikátor: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3 61 11 - množství emisí primárních částic a prekurzorů sekundárních </w:t>
            </w:r>
            <w:proofErr w:type="spellStart"/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částit</w:t>
            </w:r>
            <w:proofErr w:type="spellEnd"/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 v rámci podpořených projektů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679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výměna hlavního zdroje tepla, jejímž důsledkem podpořené bytové jednotky </w:t>
            </w: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dosáhnou lepšího</w:t>
            </w: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klasifikačního stupně podle protokolů průkazů energetické náročnosti budov </w:t>
            </w: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(rozdíl mezi klasifikační třídou před realizací a klasifikační třídou po realizaci bude roven minimálně jednomu stupni).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60 10 - Odhadované roční snížení emisí skleníkových plynů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7068" w:rsidRPr="004752F9" w:rsidTr="00E66FBA">
        <w:trPr>
          <w:trHeight w:val="630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24 01 - Počet domácností s lépe klasifikovanou spotřebou energie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757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23 00 - Snížení konečné spotřeby energie u podpořených subjektů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669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3 24 03 - Počet domácností, u kterých došlo ke změně zdroje energie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992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F7068" w:rsidRPr="00B43400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4340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Pokud podpořený objekt disponoval vlastním zdrojem tepla, který spaluje pevná, plynná nebo kapalná paliva je žadatel povinen vybrat a naplnit také tento indikátor: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B43400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434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61 11 - Množství emisí primárních částic a prekurzorů sekundárních částic v rámci podpořených projektů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B43400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434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797"/>
        </w:trPr>
        <w:tc>
          <w:tcPr>
            <w:tcW w:w="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B43400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B43400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Pokud projekt navýšil objem tepla vyrobený z obnovitelných zdrojů (OZE), je žadatel povinen vybrat a naplnit také tento indikátor: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B43400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434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3 48 00 - Výroba tepla z obnovitelných zdrojů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B43400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B43400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780"/>
        </w:trPr>
        <w:tc>
          <w:tcPr>
            <w:tcW w:w="8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lastRenderedPageBreak/>
              <w:t>3</w:t>
            </w:r>
          </w:p>
        </w:tc>
        <w:tc>
          <w:tcPr>
            <w:tcW w:w="5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výměna hlavního zdroje tepla, jejímž důsledkem je snížení spotřeby energie, ale podpořené bytové jednotky </w:t>
            </w: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cs-CZ"/>
              </w:rPr>
              <w:t>nedosáhnou lepšího</w:t>
            </w: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klasifikačního stupně podle protokolů průkazů energetické náročnosti budov </w:t>
            </w: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(není rozdíl mezi klasifikační třídou bytového domu před realizací a klasifikační třídou bytového domu po realizaci)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60 10 - Odhadované roční snížení emisí skleníkových plynů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7068" w:rsidRPr="004752F9" w:rsidTr="00E66FBA">
        <w:trPr>
          <w:trHeight w:val="78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3 24 02 - Počet domácností se sníženou spotřebou energie bez zlepšení klasifikace spotřeby energie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780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23 00 - Snížení konečné spotřeby energie u podpořených subjektů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727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3 24 03 - Počet domácností, u kterých došlo ke změně zdroje energie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908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Pokud podpořený objekt disponoval vlastním zdrojem tepla, který spaluje pevná, plynná nebo kapalná paliva je žadatel povinen vybrat a naplnit také tento indikátor: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61 11 - Množství emisí primárních částic a prekurzorů sekundárních částic v rámci podpořených projektů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749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Pokud projekt navýšil objem tepla vyrobený z obnovitelných zdrojů (OZE), je žadatel povinen vybrat a naplnit také tento indikátor: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3 48 00 - Výroba tepla z obnovitelných zdrojů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735"/>
        </w:trPr>
        <w:tc>
          <w:tcPr>
            <w:tcW w:w="8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5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instalace systému nuceného větrání se zpětným získáváním tepla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60 10 - Odhadované roční snížení emisí skleníkových plynů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</w:tr>
      <w:tr w:rsidR="005F7068" w:rsidRPr="004752F9" w:rsidTr="00E66FBA">
        <w:trPr>
          <w:trHeight w:val="735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3 23 00 - Snížení konečné spotřeby energie u podpořených subjektů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1312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Pokud projektem podpořené bytové jednotky (všechny nebo pouze část z nich) </w:t>
            </w:r>
            <w:r w:rsidRPr="004752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 xml:space="preserve">dosáhnou </w:t>
            </w: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>lepšího klasifikačního stupně podle protokolů průkazů energetické náročnosti budov (rozdíl mezi klasifikační třídou bytového domu před realizací a klasifikační třídou bytového domu po realizaci), je žadatel povinen vybrat a naplnit také tento indikátor: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 24 01 - Počet domácností s lépe klasifikovanou spotřebou energie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5F7068" w:rsidRPr="004752F9" w:rsidTr="00E66FBA">
        <w:trPr>
          <w:trHeight w:val="1194"/>
        </w:trPr>
        <w:tc>
          <w:tcPr>
            <w:tcW w:w="8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Pokud projektem podpořené bytové jednotky (všechny nebo pouze část z nich) </w:t>
            </w:r>
            <w:r w:rsidRPr="004752F9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8"/>
                <w:szCs w:val="18"/>
                <w:u w:val="single"/>
                <w:lang w:eastAsia="cs-CZ"/>
              </w:rPr>
              <w:t>nedosáhnou</w:t>
            </w:r>
            <w:r w:rsidRPr="004752F9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cs-CZ"/>
              </w:rPr>
              <w:t xml:space="preserve"> lepšího klasifikačního stupně podle protokolů průkazů energetické náročnosti budov (není rozdíl mezi klasifikační třídou bytového domu před realizací a klasifikační třídou bytového domu po realizaci), je žadatel povinen vybrat a naplnit také tento indikátor: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 xml:space="preserve">3 24 02 - Počet domácností se sníženou spotřebou energie bez zlepšení klasifikace spotřeby energie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4752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Ano</w:t>
            </w:r>
          </w:p>
        </w:tc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F7068" w:rsidRPr="004752F9" w:rsidRDefault="005F7068" w:rsidP="00E66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5F7068" w:rsidRDefault="005F7068" w:rsidP="005F7068"/>
    <w:p w:rsidR="005F7068" w:rsidRDefault="005F7068" w:rsidP="005F7068"/>
    <w:p w:rsidR="008A67D6" w:rsidRDefault="008A67D6"/>
    <w:sectPr w:rsidR="008A67D6" w:rsidSect="005F7068">
      <w:head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21" w:rsidRDefault="00CA4D21" w:rsidP="00CA4D21">
      <w:pPr>
        <w:spacing w:after="0" w:line="240" w:lineRule="auto"/>
      </w:pPr>
      <w:r>
        <w:separator/>
      </w:r>
    </w:p>
  </w:endnote>
  <w:endnote w:type="continuationSeparator" w:id="0">
    <w:p w:rsidR="00CA4D21" w:rsidRDefault="00CA4D21" w:rsidP="00CA4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21" w:rsidRDefault="00CA4D21" w:rsidP="00CA4D21">
      <w:pPr>
        <w:spacing w:after="0" w:line="240" w:lineRule="auto"/>
      </w:pPr>
      <w:r>
        <w:separator/>
      </w:r>
    </w:p>
  </w:footnote>
  <w:footnote w:type="continuationSeparator" w:id="0">
    <w:p w:rsidR="00CA4D21" w:rsidRDefault="00CA4D21" w:rsidP="00CA4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88B" w:rsidRDefault="007E088B" w:rsidP="007E088B">
    <w:pPr>
      <w:pStyle w:val="Zhlav"/>
      <w:jc w:val="center"/>
    </w:pPr>
    <w:r>
      <w:rPr>
        <w:noProof/>
        <w:lang w:eastAsia="cs-CZ"/>
      </w:rPr>
      <w:drawing>
        <wp:inline distT="0" distB="0" distL="0" distR="0" wp14:anchorId="407E2D23" wp14:editId="43967DD8">
          <wp:extent cx="5270500" cy="870421"/>
          <wp:effectExtent l="0" t="0" r="6350" b="6350"/>
          <wp:docPr id="52" name="Obrázek 52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21" w:rsidRDefault="00CA4D21">
    <w:pPr>
      <w:pStyle w:val="Zhlav"/>
    </w:pPr>
    <w:r>
      <w:rPr>
        <w:noProof/>
        <w:lang w:eastAsia="cs-CZ"/>
      </w:rPr>
      <w:drawing>
        <wp:inline distT="0" distB="0" distL="0" distR="0" wp14:anchorId="64B2E5DE" wp14:editId="3E296597">
          <wp:extent cx="5270500" cy="869950"/>
          <wp:effectExtent l="0" t="0" r="6350" b="6350"/>
          <wp:docPr id="4" name="Obrázek 4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3693"/>
    <w:multiLevelType w:val="hybridMultilevel"/>
    <w:tmpl w:val="C638DD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37DC"/>
    <w:multiLevelType w:val="hybridMultilevel"/>
    <w:tmpl w:val="BCEC1BEC"/>
    <w:lvl w:ilvl="0" w:tplc="18385F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276C02"/>
    <w:multiLevelType w:val="hybridMultilevel"/>
    <w:tmpl w:val="9E022D58"/>
    <w:lvl w:ilvl="0" w:tplc="2242B588">
      <w:numFmt w:val="bullet"/>
      <w:lvlText w:val="–"/>
      <w:lvlJc w:val="left"/>
      <w:pPr>
        <w:ind w:left="8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>
    <w:nsid w:val="38AD0685"/>
    <w:multiLevelType w:val="hybridMultilevel"/>
    <w:tmpl w:val="B45817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64AA9"/>
    <w:multiLevelType w:val="hybridMultilevel"/>
    <w:tmpl w:val="84C86468"/>
    <w:lvl w:ilvl="0" w:tplc="8916B97E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250" w:hanging="360"/>
      </w:pPr>
    </w:lvl>
    <w:lvl w:ilvl="2" w:tplc="0405001B" w:tentative="1">
      <w:start w:val="1"/>
      <w:numFmt w:val="lowerRoman"/>
      <w:lvlText w:val="%3."/>
      <w:lvlJc w:val="right"/>
      <w:pPr>
        <w:ind w:left="1970" w:hanging="180"/>
      </w:pPr>
    </w:lvl>
    <w:lvl w:ilvl="3" w:tplc="0405000F" w:tentative="1">
      <w:start w:val="1"/>
      <w:numFmt w:val="decimal"/>
      <w:lvlText w:val="%4."/>
      <w:lvlJc w:val="left"/>
      <w:pPr>
        <w:ind w:left="2690" w:hanging="360"/>
      </w:pPr>
    </w:lvl>
    <w:lvl w:ilvl="4" w:tplc="04050019" w:tentative="1">
      <w:start w:val="1"/>
      <w:numFmt w:val="lowerLetter"/>
      <w:lvlText w:val="%5."/>
      <w:lvlJc w:val="left"/>
      <w:pPr>
        <w:ind w:left="3410" w:hanging="360"/>
      </w:pPr>
    </w:lvl>
    <w:lvl w:ilvl="5" w:tplc="0405001B" w:tentative="1">
      <w:start w:val="1"/>
      <w:numFmt w:val="lowerRoman"/>
      <w:lvlText w:val="%6."/>
      <w:lvlJc w:val="right"/>
      <w:pPr>
        <w:ind w:left="4130" w:hanging="180"/>
      </w:pPr>
    </w:lvl>
    <w:lvl w:ilvl="6" w:tplc="0405000F" w:tentative="1">
      <w:start w:val="1"/>
      <w:numFmt w:val="decimal"/>
      <w:lvlText w:val="%7."/>
      <w:lvlJc w:val="left"/>
      <w:pPr>
        <w:ind w:left="4850" w:hanging="360"/>
      </w:pPr>
    </w:lvl>
    <w:lvl w:ilvl="7" w:tplc="04050019" w:tentative="1">
      <w:start w:val="1"/>
      <w:numFmt w:val="lowerLetter"/>
      <w:lvlText w:val="%8."/>
      <w:lvlJc w:val="left"/>
      <w:pPr>
        <w:ind w:left="5570" w:hanging="360"/>
      </w:pPr>
    </w:lvl>
    <w:lvl w:ilvl="8" w:tplc="040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>
    <w:nsid w:val="42EF1B18"/>
    <w:multiLevelType w:val="hybridMultilevel"/>
    <w:tmpl w:val="98627FD6"/>
    <w:lvl w:ilvl="0" w:tplc="3008E94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7F0625"/>
    <w:multiLevelType w:val="hybridMultilevel"/>
    <w:tmpl w:val="1BC84C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42BCF"/>
    <w:multiLevelType w:val="hybridMultilevel"/>
    <w:tmpl w:val="8D965034"/>
    <w:lvl w:ilvl="0" w:tplc="64A2075C">
      <w:start w:val="1"/>
      <w:numFmt w:val="bullet"/>
      <w:lvlText w:val="-"/>
      <w:lvlJc w:val="left"/>
      <w:pPr>
        <w:ind w:left="53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8">
    <w:nsid w:val="53A2474C"/>
    <w:multiLevelType w:val="hybridMultilevel"/>
    <w:tmpl w:val="AA840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F490C"/>
    <w:multiLevelType w:val="hybridMultilevel"/>
    <w:tmpl w:val="0802B6DE"/>
    <w:lvl w:ilvl="0" w:tplc="04050001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F14148"/>
    <w:multiLevelType w:val="hybridMultilevel"/>
    <w:tmpl w:val="F0CEC178"/>
    <w:lvl w:ilvl="0" w:tplc="2A8C88CE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7E805BD3"/>
    <w:multiLevelType w:val="hybridMultilevel"/>
    <w:tmpl w:val="AA8401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727E58"/>
    <w:multiLevelType w:val="hybridMultilevel"/>
    <w:tmpl w:val="6FE2A948"/>
    <w:lvl w:ilvl="0" w:tplc="04050011">
      <w:start w:val="1"/>
      <w:numFmt w:val="decimal"/>
      <w:lvlText w:val="%1)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6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11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570"/>
    <w:rsid w:val="0000470B"/>
    <w:rsid w:val="00010FBF"/>
    <w:rsid w:val="00016339"/>
    <w:rsid w:val="000232E2"/>
    <w:rsid w:val="00033D19"/>
    <w:rsid w:val="00040BFB"/>
    <w:rsid w:val="0004170F"/>
    <w:rsid w:val="0004454B"/>
    <w:rsid w:val="0007544F"/>
    <w:rsid w:val="000B57FF"/>
    <w:rsid w:val="000B7FBB"/>
    <w:rsid w:val="000B7FC7"/>
    <w:rsid w:val="000C4A9E"/>
    <w:rsid w:val="000E3B7F"/>
    <w:rsid w:val="000E6629"/>
    <w:rsid w:val="000F325D"/>
    <w:rsid w:val="000F5669"/>
    <w:rsid w:val="00102664"/>
    <w:rsid w:val="00106832"/>
    <w:rsid w:val="001129D2"/>
    <w:rsid w:val="00125085"/>
    <w:rsid w:val="00126A3C"/>
    <w:rsid w:val="001279FA"/>
    <w:rsid w:val="0013130A"/>
    <w:rsid w:val="001431E6"/>
    <w:rsid w:val="00145E6C"/>
    <w:rsid w:val="00146DA9"/>
    <w:rsid w:val="00150676"/>
    <w:rsid w:val="0016779B"/>
    <w:rsid w:val="001904F9"/>
    <w:rsid w:val="00195B35"/>
    <w:rsid w:val="001A102C"/>
    <w:rsid w:val="001A1797"/>
    <w:rsid w:val="001B16BD"/>
    <w:rsid w:val="001B3E41"/>
    <w:rsid w:val="001B44DC"/>
    <w:rsid w:val="001B6153"/>
    <w:rsid w:val="001C33FD"/>
    <w:rsid w:val="001C5165"/>
    <w:rsid w:val="001D0B29"/>
    <w:rsid w:val="002060AC"/>
    <w:rsid w:val="0021673D"/>
    <w:rsid w:val="002217FA"/>
    <w:rsid w:val="00232AE8"/>
    <w:rsid w:val="00240387"/>
    <w:rsid w:val="00246BAA"/>
    <w:rsid w:val="002476A2"/>
    <w:rsid w:val="00261CAA"/>
    <w:rsid w:val="00284570"/>
    <w:rsid w:val="002D53D8"/>
    <w:rsid w:val="002D68FC"/>
    <w:rsid w:val="002E2E22"/>
    <w:rsid w:val="002E462D"/>
    <w:rsid w:val="002E521A"/>
    <w:rsid w:val="002F5295"/>
    <w:rsid w:val="0030298F"/>
    <w:rsid w:val="003104B8"/>
    <w:rsid w:val="00315F97"/>
    <w:rsid w:val="003346BB"/>
    <w:rsid w:val="00335BAF"/>
    <w:rsid w:val="00346C39"/>
    <w:rsid w:val="0035536A"/>
    <w:rsid w:val="0036305D"/>
    <w:rsid w:val="00371767"/>
    <w:rsid w:val="0037429E"/>
    <w:rsid w:val="0038272B"/>
    <w:rsid w:val="00382A77"/>
    <w:rsid w:val="0038547C"/>
    <w:rsid w:val="00391378"/>
    <w:rsid w:val="003A4C2C"/>
    <w:rsid w:val="003A7DFB"/>
    <w:rsid w:val="003B0B79"/>
    <w:rsid w:val="003C4F09"/>
    <w:rsid w:val="003E47D0"/>
    <w:rsid w:val="003E7B95"/>
    <w:rsid w:val="003F1C91"/>
    <w:rsid w:val="003F2615"/>
    <w:rsid w:val="003F2F6E"/>
    <w:rsid w:val="00405DF0"/>
    <w:rsid w:val="00406D32"/>
    <w:rsid w:val="00435235"/>
    <w:rsid w:val="00450CBB"/>
    <w:rsid w:val="004530E0"/>
    <w:rsid w:val="0046026F"/>
    <w:rsid w:val="004764B8"/>
    <w:rsid w:val="00494A0E"/>
    <w:rsid w:val="004B0A91"/>
    <w:rsid w:val="004D3F65"/>
    <w:rsid w:val="004F5C58"/>
    <w:rsid w:val="00530735"/>
    <w:rsid w:val="00537E94"/>
    <w:rsid w:val="00542B28"/>
    <w:rsid w:val="00542BEA"/>
    <w:rsid w:val="00545CE7"/>
    <w:rsid w:val="00593C3F"/>
    <w:rsid w:val="005A060F"/>
    <w:rsid w:val="005B09C0"/>
    <w:rsid w:val="005B2F60"/>
    <w:rsid w:val="005D0E85"/>
    <w:rsid w:val="005E38F7"/>
    <w:rsid w:val="005F066B"/>
    <w:rsid w:val="005F7068"/>
    <w:rsid w:val="006052E6"/>
    <w:rsid w:val="00612172"/>
    <w:rsid w:val="006215E4"/>
    <w:rsid w:val="0063229F"/>
    <w:rsid w:val="00652025"/>
    <w:rsid w:val="00680AC7"/>
    <w:rsid w:val="006A65F4"/>
    <w:rsid w:val="006E0934"/>
    <w:rsid w:val="006F1324"/>
    <w:rsid w:val="006F2CEA"/>
    <w:rsid w:val="006F60C7"/>
    <w:rsid w:val="007000CB"/>
    <w:rsid w:val="007006D0"/>
    <w:rsid w:val="007142C7"/>
    <w:rsid w:val="00716C8B"/>
    <w:rsid w:val="00731C38"/>
    <w:rsid w:val="00757AAC"/>
    <w:rsid w:val="00762071"/>
    <w:rsid w:val="00762AAD"/>
    <w:rsid w:val="00765A84"/>
    <w:rsid w:val="007700F0"/>
    <w:rsid w:val="00771B81"/>
    <w:rsid w:val="0078120F"/>
    <w:rsid w:val="007A0313"/>
    <w:rsid w:val="007B3485"/>
    <w:rsid w:val="007D5403"/>
    <w:rsid w:val="007E088B"/>
    <w:rsid w:val="007E7E94"/>
    <w:rsid w:val="008012DC"/>
    <w:rsid w:val="00826536"/>
    <w:rsid w:val="00832D34"/>
    <w:rsid w:val="00832E1D"/>
    <w:rsid w:val="00841C6C"/>
    <w:rsid w:val="0084590E"/>
    <w:rsid w:val="00856306"/>
    <w:rsid w:val="008612A2"/>
    <w:rsid w:val="0086185A"/>
    <w:rsid w:val="008733D9"/>
    <w:rsid w:val="00883104"/>
    <w:rsid w:val="008961ED"/>
    <w:rsid w:val="008A67D6"/>
    <w:rsid w:val="008B3FEE"/>
    <w:rsid w:val="00914D0A"/>
    <w:rsid w:val="00923A9C"/>
    <w:rsid w:val="009468CC"/>
    <w:rsid w:val="00950FB2"/>
    <w:rsid w:val="00951C98"/>
    <w:rsid w:val="009724B0"/>
    <w:rsid w:val="0097630D"/>
    <w:rsid w:val="009802DB"/>
    <w:rsid w:val="009812EC"/>
    <w:rsid w:val="00985ECD"/>
    <w:rsid w:val="00985F3F"/>
    <w:rsid w:val="0099087B"/>
    <w:rsid w:val="009953E0"/>
    <w:rsid w:val="009B1BC8"/>
    <w:rsid w:val="009C0567"/>
    <w:rsid w:val="009E65A3"/>
    <w:rsid w:val="009F485A"/>
    <w:rsid w:val="00A03537"/>
    <w:rsid w:val="00A05FCD"/>
    <w:rsid w:val="00A4444B"/>
    <w:rsid w:val="00A553E8"/>
    <w:rsid w:val="00A61B69"/>
    <w:rsid w:val="00A63218"/>
    <w:rsid w:val="00A77A53"/>
    <w:rsid w:val="00A77BE1"/>
    <w:rsid w:val="00A84743"/>
    <w:rsid w:val="00AA376D"/>
    <w:rsid w:val="00AB2961"/>
    <w:rsid w:val="00AB5168"/>
    <w:rsid w:val="00AB61B5"/>
    <w:rsid w:val="00AC2249"/>
    <w:rsid w:val="00AC3FD3"/>
    <w:rsid w:val="00AF1D91"/>
    <w:rsid w:val="00B135E4"/>
    <w:rsid w:val="00B164BA"/>
    <w:rsid w:val="00B23F1A"/>
    <w:rsid w:val="00B30B2E"/>
    <w:rsid w:val="00B40A4A"/>
    <w:rsid w:val="00B5189E"/>
    <w:rsid w:val="00B53BE6"/>
    <w:rsid w:val="00B719AD"/>
    <w:rsid w:val="00B84598"/>
    <w:rsid w:val="00B91300"/>
    <w:rsid w:val="00BA0C1B"/>
    <w:rsid w:val="00BB55A5"/>
    <w:rsid w:val="00BD3DAD"/>
    <w:rsid w:val="00BD51DF"/>
    <w:rsid w:val="00BE0E07"/>
    <w:rsid w:val="00BF1BF3"/>
    <w:rsid w:val="00BF3FF3"/>
    <w:rsid w:val="00BF7D71"/>
    <w:rsid w:val="00C03C90"/>
    <w:rsid w:val="00C04DBD"/>
    <w:rsid w:val="00C16CE1"/>
    <w:rsid w:val="00C201CE"/>
    <w:rsid w:val="00C21601"/>
    <w:rsid w:val="00C2430C"/>
    <w:rsid w:val="00C311DF"/>
    <w:rsid w:val="00C34529"/>
    <w:rsid w:val="00C469E3"/>
    <w:rsid w:val="00C46EFE"/>
    <w:rsid w:val="00C70BA7"/>
    <w:rsid w:val="00C72053"/>
    <w:rsid w:val="00C83467"/>
    <w:rsid w:val="00C9672D"/>
    <w:rsid w:val="00C97AEE"/>
    <w:rsid w:val="00CA341F"/>
    <w:rsid w:val="00CA4D21"/>
    <w:rsid w:val="00CB4AD9"/>
    <w:rsid w:val="00CD3887"/>
    <w:rsid w:val="00CE2B41"/>
    <w:rsid w:val="00D2776C"/>
    <w:rsid w:val="00D77DAC"/>
    <w:rsid w:val="00D8393A"/>
    <w:rsid w:val="00D92DD4"/>
    <w:rsid w:val="00DD2691"/>
    <w:rsid w:val="00DD298D"/>
    <w:rsid w:val="00E00CE1"/>
    <w:rsid w:val="00E03976"/>
    <w:rsid w:val="00E119BC"/>
    <w:rsid w:val="00E27979"/>
    <w:rsid w:val="00E37816"/>
    <w:rsid w:val="00E37A60"/>
    <w:rsid w:val="00E75C49"/>
    <w:rsid w:val="00E902A9"/>
    <w:rsid w:val="00E9167F"/>
    <w:rsid w:val="00EB79C8"/>
    <w:rsid w:val="00EC6FA7"/>
    <w:rsid w:val="00ED0F6A"/>
    <w:rsid w:val="00EE2915"/>
    <w:rsid w:val="00EE7EFD"/>
    <w:rsid w:val="00EF111D"/>
    <w:rsid w:val="00EF22BF"/>
    <w:rsid w:val="00EF7B38"/>
    <w:rsid w:val="00F02AC7"/>
    <w:rsid w:val="00F352B8"/>
    <w:rsid w:val="00F441E1"/>
    <w:rsid w:val="00F606DE"/>
    <w:rsid w:val="00F6706D"/>
    <w:rsid w:val="00F7094D"/>
    <w:rsid w:val="00F87E83"/>
    <w:rsid w:val="00FA3A81"/>
    <w:rsid w:val="00FB549E"/>
    <w:rsid w:val="00FD36E0"/>
    <w:rsid w:val="00FE72B2"/>
    <w:rsid w:val="00FF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B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*text"/>
    <w:basedOn w:val="Normln"/>
    <w:link w:val="textChar"/>
    <w:qFormat/>
    <w:rsid w:val="00A61B69"/>
    <w:pPr>
      <w:spacing w:after="160" w:line="259" w:lineRule="auto"/>
      <w:jc w:val="both"/>
    </w:pPr>
  </w:style>
  <w:style w:type="character" w:customStyle="1" w:styleId="textChar">
    <w:name w:val="*text Char"/>
    <w:basedOn w:val="Standardnpsmoodstavce"/>
    <w:link w:val="text"/>
    <w:rsid w:val="00A61B69"/>
  </w:style>
  <w:style w:type="table" w:styleId="Mkatabulky">
    <w:name w:val="Table Grid"/>
    <w:basedOn w:val="Normlntabulka"/>
    <w:uiPriority w:val="59"/>
    <w:rsid w:val="0095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5B0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09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9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9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2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3976"/>
    <w:rPr>
      <w:i/>
      <w:iCs/>
    </w:rPr>
  </w:style>
  <w:style w:type="character" w:customStyle="1" w:styleId="apple-converted-space">
    <w:name w:val="apple-converted-space"/>
    <w:basedOn w:val="Standardnpsmoodstavce"/>
    <w:rsid w:val="00E03976"/>
  </w:style>
  <w:style w:type="paragraph" w:customStyle="1" w:styleId="Default">
    <w:name w:val="Default"/>
    <w:rsid w:val="000E6629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20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E38F7"/>
    <w:rPr>
      <w:b/>
      <w:bCs/>
    </w:rPr>
  </w:style>
  <w:style w:type="paragraph" w:customStyle="1" w:styleId="center">
    <w:name w:val="center"/>
    <w:basedOn w:val="Normln"/>
    <w:rsid w:val="005E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7000CB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B719AD"/>
    <w:rPr>
      <w:color w:val="808080"/>
    </w:rPr>
  </w:style>
  <w:style w:type="paragraph" w:customStyle="1" w:styleId="Zkladnodstavec">
    <w:name w:val="[Základní odstavec]"/>
    <w:basedOn w:val="Normln"/>
    <w:uiPriority w:val="99"/>
    <w:rsid w:val="00CA4D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A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D21"/>
  </w:style>
  <w:style w:type="paragraph" w:styleId="Zpat">
    <w:name w:val="footer"/>
    <w:basedOn w:val="Normln"/>
    <w:link w:val="ZpatChar"/>
    <w:uiPriority w:val="99"/>
    <w:unhideWhenUsed/>
    <w:rsid w:val="00CA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1B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*text"/>
    <w:basedOn w:val="Normln"/>
    <w:link w:val="textChar"/>
    <w:qFormat/>
    <w:rsid w:val="00A61B69"/>
    <w:pPr>
      <w:spacing w:after="160" w:line="259" w:lineRule="auto"/>
      <w:jc w:val="both"/>
    </w:pPr>
  </w:style>
  <w:style w:type="character" w:customStyle="1" w:styleId="textChar">
    <w:name w:val="*text Char"/>
    <w:basedOn w:val="Standardnpsmoodstavce"/>
    <w:link w:val="text"/>
    <w:rsid w:val="00A61B69"/>
  </w:style>
  <w:style w:type="table" w:styleId="Mkatabulky">
    <w:name w:val="Table Grid"/>
    <w:basedOn w:val="Normlntabulka"/>
    <w:uiPriority w:val="59"/>
    <w:rsid w:val="0095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5B09C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09C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09C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09C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09C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9C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127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E03976"/>
    <w:rPr>
      <w:i/>
      <w:iCs/>
    </w:rPr>
  </w:style>
  <w:style w:type="character" w:customStyle="1" w:styleId="apple-converted-space">
    <w:name w:val="apple-converted-space"/>
    <w:basedOn w:val="Standardnpsmoodstavce"/>
    <w:rsid w:val="00E03976"/>
  </w:style>
  <w:style w:type="paragraph" w:customStyle="1" w:styleId="Default">
    <w:name w:val="Default"/>
    <w:rsid w:val="000E6629"/>
    <w:pPr>
      <w:autoSpaceDE w:val="0"/>
      <w:autoSpaceDN w:val="0"/>
      <w:adjustRightInd w:val="0"/>
      <w:spacing w:after="0" w:line="240" w:lineRule="auto"/>
    </w:pPr>
    <w:rPr>
      <w:rFonts w:ascii="Times New Roman" w:eastAsiaTheme="majorEastAsia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65202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5E38F7"/>
    <w:rPr>
      <w:b/>
      <w:bCs/>
    </w:rPr>
  </w:style>
  <w:style w:type="paragraph" w:customStyle="1" w:styleId="center">
    <w:name w:val="center"/>
    <w:basedOn w:val="Normln"/>
    <w:rsid w:val="005E3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7000CB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B719AD"/>
    <w:rPr>
      <w:color w:val="808080"/>
    </w:rPr>
  </w:style>
  <w:style w:type="paragraph" w:customStyle="1" w:styleId="Zkladnodstavec">
    <w:name w:val="[Základní odstavec]"/>
    <w:basedOn w:val="Normln"/>
    <w:uiPriority w:val="99"/>
    <w:rsid w:val="00CA4D2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CA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4D21"/>
  </w:style>
  <w:style w:type="paragraph" w:styleId="Zpat">
    <w:name w:val="footer"/>
    <w:basedOn w:val="Normln"/>
    <w:link w:val="ZpatChar"/>
    <w:uiPriority w:val="99"/>
    <w:unhideWhenUsed/>
    <w:rsid w:val="00CA4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4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59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7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8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04651-5420-40C8-9B8D-7CB347613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25</Pages>
  <Words>5375</Words>
  <Characters>31715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Heřmánek</dc:creator>
  <cp:lastModifiedBy>Alice Marciszová</cp:lastModifiedBy>
  <cp:revision>8</cp:revision>
  <cp:lastPrinted>2015-12-03T13:01:00Z</cp:lastPrinted>
  <dcterms:created xsi:type="dcterms:W3CDTF">2015-12-07T11:36:00Z</dcterms:created>
  <dcterms:modified xsi:type="dcterms:W3CDTF">2015-12-09T15:17:00Z</dcterms:modified>
</cp:coreProperties>
</file>