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40D4" w14:textId="69B7D262" w:rsidR="008F36A8" w:rsidRPr="00BD6101" w:rsidRDefault="008F36A8" w:rsidP="00EE30DA">
      <w:pPr>
        <w:jc w:val="center"/>
        <w:rPr>
          <w:b/>
          <w:bCs/>
          <w:sz w:val="28"/>
          <w:szCs w:val="28"/>
        </w:rPr>
      </w:pPr>
      <w:r w:rsidRPr="00BD6101">
        <w:rPr>
          <w:b/>
          <w:bCs/>
          <w:sz w:val="28"/>
          <w:szCs w:val="28"/>
        </w:rPr>
        <w:t>Daň z nabytí nemovitých věcí</w:t>
      </w:r>
      <w:r w:rsidR="00EE30DA" w:rsidRPr="00BD6101">
        <w:rPr>
          <w:b/>
          <w:bCs/>
          <w:sz w:val="28"/>
          <w:szCs w:val="28"/>
        </w:rPr>
        <w:t xml:space="preserve"> (DNNV)</w:t>
      </w:r>
      <w:r w:rsidRPr="00BD6101">
        <w:rPr>
          <w:b/>
          <w:bCs/>
          <w:sz w:val="28"/>
          <w:szCs w:val="28"/>
        </w:rPr>
        <w:t xml:space="preserve"> z pohledu dan</w:t>
      </w:r>
      <w:r w:rsidR="00BD6101" w:rsidRPr="00BD6101">
        <w:rPr>
          <w:b/>
          <w:bCs/>
          <w:sz w:val="28"/>
          <w:szCs w:val="28"/>
        </w:rPr>
        <w:t>ě</w:t>
      </w:r>
      <w:r w:rsidRPr="00BD6101">
        <w:rPr>
          <w:b/>
          <w:bCs/>
          <w:sz w:val="28"/>
          <w:szCs w:val="28"/>
        </w:rPr>
        <w:t xml:space="preserve"> z</w:t>
      </w:r>
      <w:r w:rsidR="00BD6101" w:rsidRPr="00BD6101">
        <w:rPr>
          <w:b/>
          <w:bCs/>
          <w:sz w:val="28"/>
          <w:szCs w:val="28"/>
        </w:rPr>
        <w:t> </w:t>
      </w:r>
      <w:r w:rsidRPr="00BD6101">
        <w:rPr>
          <w:b/>
          <w:bCs/>
          <w:sz w:val="28"/>
          <w:szCs w:val="28"/>
        </w:rPr>
        <w:t>příjmů</w:t>
      </w:r>
    </w:p>
    <w:p w14:paraId="75466C0F" w14:textId="77777777" w:rsidR="00BD6101" w:rsidRPr="00BD6101" w:rsidRDefault="00BD6101" w:rsidP="00BD6101">
      <w:pPr>
        <w:jc w:val="center"/>
        <w:rPr>
          <w:bCs/>
          <w:sz w:val="24"/>
          <w:szCs w:val="24"/>
        </w:rPr>
      </w:pPr>
      <w:r w:rsidRPr="00BD6101">
        <w:rPr>
          <w:bCs/>
          <w:sz w:val="24"/>
          <w:szCs w:val="24"/>
        </w:rPr>
        <w:t>Jednání Koordinačního výboru s Komorou daňových poradců ČR dne 14.11.2018</w:t>
      </w:r>
      <w:bookmarkStart w:id="0" w:name="_GoBack"/>
      <w:bookmarkEnd w:id="0"/>
    </w:p>
    <w:p w14:paraId="02FA4B5A" w14:textId="77777777" w:rsidR="00BD6101" w:rsidRDefault="00BD6101" w:rsidP="00EE30DA">
      <w:pPr>
        <w:jc w:val="center"/>
        <w:rPr>
          <w:b/>
          <w:bCs/>
          <w:sz w:val="23"/>
          <w:szCs w:val="23"/>
        </w:rPr>
      </w:pPr>
    </w:p>
    <w:p w14:paraId="25BFFA94" w14:textId="77777777" w:rsidR="008F36A8" w:rsidRDefault="008F36A8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Cílem příspěvku </w:t>
      </w:r>
      <w:r w:rsidR="00EE30DA">
        <w:rPr>
          <w:sz w:val="23"/>
          <w:szCs w:val="23"/>
        </w:rPr>
        <w:t>je</w:t>
      </w:r>
      <w:r>
        <w:rPr>
          <w:sz w:val="23"/>
          <w:szCs w:val="23"/>
        </w:rPr>
        <w:t xml:space="preserve"> analyzovat související platné právní předpisy a účetní zásady a zjistit, zda stanoví jednoznačný postup v této věci. V kladném případě určit, </w:t>
      </w:r>
      <w:r w:rsidRPr="00EE30DA">
        <w:rPr>
          <w:b/>
          <w:sz w:val="23"/>
          <w:szCs w:val="23"/>
        </w:rPr>
        <w:t xml:space="preserve">zda </w:t>
      </w:r>
      <w:r w:rsidR="00EE30DA">
        <w:rPr>
          <w:b/>
          <w:sz w:val="23"/>
          <w:szCs w:val="23"/>
        </w:rPr>
        <w:t>DNNV</w:t>
      </w:r>
      <w:r w:rsidRPr="00EE30DA">
        <w:rPr>
          <w:b/>
          <w:sz w:val="23"/>
          <w:szCs w:val="23"/>
        </w:rPr>
        <w:t xml:space="preserve"> představuje u nabyvatele jednorázový výdaj na dosažení, zajištění a udržení zdanitelných příjmů (daňový výdaj) v okamžiku zaplacení, nebo zda se se stává součástí vstupní ceny nabývané nemovité věci, a do daňových výdajů se uplatní postupně formou daňových odpisů</w:t>
      </w:r>
      <w:r>
        <w:rPr>
          <w:sz w:val="23"/>
          <w:szCs w:val="23"/>
        </w:rPr>
        <w:t>.</w:t>
      </w:r>
    </w:p>
    <w:p w14:paraId="50FCD974" w14:textId="77777777" w:rsidR="008F36A8" w:rsidRDefault="008F36A8">
      <w:pPr>
        <w:rPr>
          <w:i/>
          <w:iCs/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aňový charakter DNNV bude vycházet z účetních předpisů, přesněji řečeno z toho, </w:t>
      </w:r>
      <w:r w:rsidRPr="00EE30DA">
        <w:rPr>
          <w:b/>
          <w:sz w:val="23"/>
          <w:szCs w:val="23"/>
        </w:rPr>
        <w:t>zda je dle účetních předpisů tato daň považována</w:t>
      </w:r>
      <w:r w:rsidRPr="00EE30DA">
        <w:rPr>
          <w:b/>
          <w:sz w:val="23"/>
          <w:szCs w:val="23"/>
        </w:rPr>
        <w:t xml:space="preserve"> </w:t>
      </w:r>
      <w:r w:rsidRPr="00EE30DA">
        <w:rPr>
          <w:b/>
          <w:sz w:val="23"/>
          <w:szCs w:val="23"/>
        </w:rPr>
        <w:t>za součást ocenění nabyté nemovité věci či nikoliv</w:t>
      </w:r>
      <w:r>
        <w:rPr>
          <w:sz w:val="23"/>
          <w:szCs w:val="23"/>
        </w:rPr>
        <w:t>. Daňovou vstupní cenou je hodnota ocenění (pořizovací cena) zjištěná podle účetních předpisů.</w:t>
      </w:r>
    </w:p>
    <w:p w14:paraId="0F2F213E" w14:textId="77777777" w:rsidR="00EE30DA" w:rsidRDefault="00EE30DA" w:rsidP="008F36A8">
      <w:pPr>
        <w:rPr>
          <w:b/>
          <w:i/>
          <w:iCs/>
          <w:sz w:val="23"/>
          <w:szCs w:val="23"/>
        </w:rPr>
      </w:pPr>
    </w:p>
    <w:p w14:paraId="1E1B02CB" w14:textId="77777777" w:rsidR="00EE30DA" w:rsidRPr="00EE30DA" w:rsidRDefault="00EE30DA" w:rsidP="008F36A8">
      <w:pPr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Ze závěrů:</w:t>
      </w:r>
    </w:p>
    <w:p w14:paraId="0D46F33A" w14:textId="77777777" w:rsidR="008F36A8" w:rsidRPr="008F36A8" w:rsidRDefault="008F36A8" w:rsidP="008F36A8">
      <w:pPr>
        <w:rPr>
          <w:i/>
          <w:iCs/>
          <w:sz w:val="23"/>
          <w:szCs w:val="23"/>
        </w:rPr>
      </w:pPr>
      <w:r w:rsidRPr="008F36A8">
        <w:rPr>
          <w:i/>
          <w:iCs/>
          <w:sz w:val="23"/>
          <w:szCs w:val="23"/>
        </w:rPr>
        <w:t xml:space="preserve">Pro účely </w:t>
      </w:r>
      <w:r w:rsidRPr="00EE30DA">
        <w:rPr>
          <w:b/>
          <w:i/>
          <w:iCs/>
          <w:sz w:val="23"/>
          <w:szCs w:val="23"/>
        </w:rPr>
        <w:t>stanovení okamžiku vzniku daňové povinnosti</w:t>
      </w:r>
      <w:r w:rsidRPr="008F36A8">
        <w:rPr>
          <w:i/>
          <w:iCs/>
          <w:sz w:val="23"/>
          <w:szCs w:val="23"/>
        </w:rPr>
        <w:t xml:space="preserve"> k </w:t>
      </w:r>
      <w:r w:rsidR="00EE30DA">
        <w:rPr>
          <w:i/>
          <w:iCs/>
          <w:sz w:val="23"/>
          <w:szCs w:val="23"/>
        </w:rPr>
        <w:t>DNNV</w:t>
      </w:r>
      <w:r w:rsidRPr="008F36A8">
        <w:rPr>
          <w:i/>
          <w:iCs/>
          <w:sz w:val="23"/>
          <w:szCs w:val="23"/>
        </w:rPr>
        <w:t xml:space="preserve"> lze obecně konstatovat, že v případech kdy:</w:t>
      </w:r>
    </w:p>
    <w:p w14:paraId="75EDA480" w14:textId="77777777" w:rsidR="008F36A8" w:rsidRPr="008F36A8" w:rsidRDefault="008F36A8" w:rsidP="008F36A8">
      <w:pPr>
        <w:rPr>
          <w:i/>
          <w:iCs/>
          <w:sz w:val="23"/>
          <w:szCs w:val="23"/>
        </w:rPr>
      </w:pPr>
      <w:r w:rsidRPr="008F36A8">
        <w:rPr>
          <w:i/>
          <w:iCs/>
          <w:sz w:val="23"/>
          <w:szCs w:val="23"/>
        </w:rPr>
        <w:t>1. má rozhodnutí o vkladu do katastru nemovitostí konstitutivní charakter, je rozhodným dnem pro vznik daňové povinnosti a pro vznik daňově právního vztahu den právních účinků vkladu do katastru nemovitostí;</w:t>
      </w:r>
    </w:p>
    <w:p w14:paraId="38CCB7B0" w14:textId="77777777" w:rsidR="008F36A8" w:rsidRPr="008F36A8" w:rsidRDefault="008F36A8" w:rsidP="008F36A8">
      <w:pPr>
        <w:rPr>
          <w:i/>
          <w:iCs/>
          <w:sz w:val="23"/>
          <w:szCs w:val="23"/>
        </w:rPr>
      </w:pPr>
      <w:r w:rsidRPr="008F36A8">
        <w:rPr>
          <w:i/>
          <w:iCs/>
          <w:sz w:val="23"/>
          <w:szCs w:val="23"/>
        </w:rPr>
        <w:t>2. má rozhodnutí o vkladu do katastru nemovitostí deklaratorní charakter, je rozhodným dnem pro vznik daňové povinnosti a pro vznik daňově právního vztahu den, kdy došlo k nabytí vlastnického práva k nemovité věci, a to buď právní mocí rozhodnutí nebo dnem určeným ve smlouvě nebo zákonem;</w:t>
      </w:r>
    </w:p>
    <w:p w14:paraId="20AFB813" w14:textId="77777777" w:rsidR="008F36A8" w:rsidRPr="008F36A8" w:rsidRDefault="008F36A8" w:rsidP="008F36A8">
      <w:pPr>
        <w:rPr>
          <w:i/>
          <w:iCs/>
          <w:sz w:val="23"/>
          <w:szCs w:val="23"/>
        </w:rPr>
      </w:pPr>
      <w:r w:rsidRPr="008F36A8">
        <w:rPr>
          <w:i/>
          <w:iCs/>
          <w:sz w:val="23"/>
          <w:szCs w:val="23"/>
        </w:rPr>
        <w:t>3. se jedná o nemovité věci nezapisované do katastru nemovitostí je rozhodným dnem pro vznik daňové povinnosti a pro vznik daňově právního vztahu den nabytí vlastnického práva k nemovité věci, což může být např. den účinnosti smlouvy, ale obdobně, jak je uvedeno shora, i den nabytí právní moci rozhodnutí, den určený ve smlouvě nebo zákonem.</w:t>
      </w:r>
    </w:p>
    <w:p w14:paraId="10358247" w14:textId="77777777" w:rsidR="00EE30DA" w:rsidRDefault="008F36A8">
      <w:pPr>
        <w:rPr>
          <w:i/>
          <w:iCs/>
          <w:sz w:val="23"/>
          <w:szCs w:val="23"/>
        </w:rPr>
      </w:pPr>
      <w:r w:rsidRPr="00EE30DA">
        <w:rPr>
          <w:b/>
          <w:i/>
          <w:iCs/>
          <w:sz w:val="23"/>
          <w:szCs w:val="23"/>
        </w:rPr>
        <w:t>Z hlediska účetních předpisů</w:t>
      </w:r>
      <w:r w:rsidRPr="008F36A8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se j</w:t>
      </w:r>
      <w:r>
        <w:rPr>
          <w:i/>
          <w:iCs/>
          <w:sz w:val="23"/>
          <w:szCs w:val="23"/>
        </w:rPr>
        <w:t>edná o případ výslovně neupravený právními předpisy v oblasti v účetnictví, v daném případě zejména § 47 odst. 1 a 2 vyhlášky č. 500/2002 Sb., ve znění pozdějších přepisů (dále jen „vyhláška“). Proto s ohledem ustanovení § 8 odst. 2 zákona č. 563/1991 Sb., o účetnictví, ve znění pozdějších předpisů (dále jen</w:t>
      </w:r>
      <w:r>
        <w:rPr>
          <w:i/>
          <w:iCs/>
          <w:sz w:val="23"/>
          <w:szCs w:val="23"/>
        </w:rPr>
        <w:t xml:space="preserve"> </w:t>
      </w:r>
      <w:r w:rsidRPr="008F36A8">
        <w:rPr>
          <w:i/>
          <w:iCs/>
          <w:sz w:val="23"/>
          <w:szCs w:val="23"/>
        </w:rPr>
        <w:t>zákon“), účetní jednotka zvolí postup tak, aby bylo dosaženo věrného zobrazení předmětu účetnictví způsobem, který neodporuje zákonu o účetnictví ani ostatním právním předpisům ani neobchází jejich účel.</w:t>
      </w:r>
    </w:p>
    <w:p w14:paraId="6FD39B4E" w14:textId="77777777" w:rsidR="001D5F67" w:rsidRPr="00EE30DA" w:rsidRDefault="008F36A8">
      <w:pPr>
        <w:rPr>
          <w:b/>
          <w:i/>
          <w:iCs/>
          <w:sz w:val="23"/>
          <w:szCs w:val="23"/>
        </w:rPr>
      </w:pPr>
      <w:r w:rsidRPr="008F36A8">
        <w:rPr>
          <w:i/>
          <w:iCs/>
          <w:sz w:val="23"/>
          <w:szCs w:val="23"/>
        </w:rPr>
        <w:t xml:space="preserve">V případě vzniku daňové povinnosti z titulu úplatného nabytí vlastnického práva k nemovité věci je nesporné, že </w:t>
      </w:r>
      <w:r w:rsidRPr="00EE30DA">
        <w:rPr>
          <w:b/>
          <w:i/>
          <w:iCs/>
          <w:sz w:val="23"/>
          <w:szCs w:val="23"/>
        </w:rPr>
        <w:t>náklad na daň z nabytí nemovitých věcí má příčinnou souvislost s pořízením dlouhodobého hmotného majetku</w:t>
      </w:r>
      <w:r w:rsidRPr="008F36A8">
        <w:rPr>
          <w:i/>
          <w:iCs/>
          <w:sz w:val="23"/>
          <w:szCs w:val="23"/>
        </w:rPr>
        <w:t xml:space="preserve"> a do doby stanovené v § 7 odst. 11 vyhlášky je součástí jeho ocenění pořizovací cenou podle § 25 odst. 1) písm. a). Není-li přiměřená jistota (pokud v daném případě není známa přesná výše daně), má účetní jednotka </w:t>
      </w:r>
      <w:r w:rsidRPr="00EE30DA">
        <w:rPr>
          <w:b/>
          <w:i/>
          <w:iCs/>
          <w:sz w:val="23"/>
          <w:szCs w:val="23"/>
        </w:rPr>
        <w:t>povinnost vytvořit dohadnou položku a zahrnout ji do ocenění dotčeného majetku</w:t>
      </w:r>
      <w:r w:rsidRPr="008F36A8">
        <w:rPr>
          <w:i/>
          <w:iCs/>
          <w:sz w:val="23"/>
          <w:szCs w:val="23"/>
        </w:rPr>
        <w:t xml:space="preserve">. </w:t>
      </w:r>
      <w:r w:rsidRPr="00EE30DA">
        <w:rPr>
          <w:b/>
          <w:i/>
          <w:iCs/>
          <w:sz w:val="23"/>
          <w:szCs w:val="23"/>
        </w:rPr>
        <w:t>Provozním nákladem</w:t>
      </w:r>
      <w:r w:rsidR="00DF2EC8" w:rsidRPr="00EE30DA">
        <w:rPr>
          <w:b/>
          <w:i/>
          <w:iCs/>
          <w:sz w:val="23"/>
          <w:szCs w:val="23"/>
        </w:rPr>
        <w:t>,</w:t>
      </w:r>
      <w:r w:rsidRPr="00EE30DA">
        <w:rPr>
          <w:b/>
          <w:i/>
          <w:iCs/>
          <w:sz w:val="23"/>
          <w:szCs w:val="23"/>
        </w:rPr>
        <w:t xml:space="preserve"> popř. výnosem </w:t>
      </w:r>
      <w:r w:rsidRPr="00EE30DA">
        <w:rPr>
          <w:b/>
          <w:i/>
          <w:iCs/>
          <w:sz w:val="23"/>
          <w:szCs w:val="23"/>
        </w:rPr>
        <w:lastRenderedPageBreak/>
        <w:t>bude v dané souvislosti pouze případný rozdíl mezi stanovenou daní a zaplacenou zálohou, resp. rozdíl mezi skutečnou výší daně a jejím odhadem.</w:t>
      </w:r>
    </w:p>
    <w:p w14:paraId="23FA0469" w14:textId="77777777" w:rsidR="00DF2EC8" w:rsidRDefault="00DF2EC8" w:rsidP="00DF2EC8">
      <w:pPr>
        <w:pStyle w:val="Default"/>
        <w:rPr>
          <w:sz w:val="23"/>
          <w:szCs w:val="23"/>
        </w:rPr>
      </w:pPr>
      <w:r w:rsidRPr="00EE30DA">
        <w:rPr>
          <w:b/>
          <w:i/>
          <w:iCs/>
          <w:sz w:val="23"/>
          <w:szCs w:val="23"/>
        </w:rPr>
        <w:t>Z pohledu ZDP</w:t>
      </w:r>
      <w:r>
        <w:rPr>
          <w:i/>
          <w:iCs/>
          <w:sz w:val="23"/>
          <w:szCs w:val="23"/>
        </w:rPr>
        <w:t xml:space="preserve"> lze na základě výše uvedených stanovisek konstatovat, že v případě, kdy </w:t>
      </w:r>
    </w:p>
    <w:p w14:paraId="4987FA66" w14:textId="77777777" w:rsidR="00DF2EC8" w:rsidRDefault="00DF2EC8" w:rsidP="00EE30DA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daň z úplatného nabytí nemovitých věcí bude zaúčtována jako součást pořizovací ceny nemovité věci, bude v základu daně uplatněna prostřednictvím daňových odpisů </w:t>
      </w:r>
    </w:p>
    <w:p w14:paraId="009DF51F" w14:textId="77777777" w:rsidR="00DF2EC8" w:rsidRDefault="00DF2EC8" w:rsidP="00EE30D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>případný rozdíl mezi stanovenou daní a zaplacenou zálohou bude zaúčtován do provozních nákladů (viz zrušení dohadné položky), bude se za předpokladu splnění všech zákonem stanovených podmínek jednat o daňově uznatelný výdaj podle § 24 odst. 2 písm. ch) ZDP</w:t>
      </w:r>
      <w:r w:rsidR="00EE30DA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</w:t>
      </w:r>
    </w:p>
    <w:p w14:paraId="46D1667A" w14:textId="77777777" w:rsidR="00DF2EC8" w:rsidRDefault="00DF2EC8"/>
    <w:sectPr w:rsidR="00DF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00B4C"/>
    <w:multiLevelType w:val="hybridMultilevel"/>
    <w:tmpl w:val="D86AFFA4"/>
    <w:lvl w:ilvl="0" w:tplc="69F8C94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F4844"/>
    <w:multiLevelType w:val="hybridMultilevel"/>
    <w:tmpl w:val="33D834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A8"/>
    <w:rsid w:val="001D5F67"/>
    <w:rsid w:val="008F36A8"/>
    <w:rsid w:val="00BD6101"/>
    <w:rsid w:val="00DF2EC8"/>
    <w:rsid w:val="00E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22E"/>
  <w15:chartTrackingRefBased/>
  <w15:docId w15:val="{2A61A0D1-0F9D-4CB7-8A51-204C84D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2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Haráková</dc:creator>
  <cp:keywords/>
  <dc:description/>
  <cp:lastModifiedBy>Ing. Lenka Haráková</cp:lastModifiedBy>
  <cp:revision>2</cp:revision>
  <dcterms:created xsi:type="dcterms:W3CDTF">2018-12-14T12:33:00Z</dcterms:created>
  <dcterms:modified xsi:type="dcterms:W3CDTF">2018-12-14T13:07:00Z</dcterms:modified>
</cp:coreProperties>
</file>